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00929"/>
          <w:sz w:val="64"/>
          <w:szCs w:val="64"/>
        </w:rPr>
        <w:t xml:space="preserve">MonParcours</w:t>
      </w:r>
    </w:p>
    <w:p>
      <w:pPr>
        <w:spacing w:before="200"/>
        <w:jc w:val="center"/>
      </w:pPr>
      <w:r>
        <w:rPr>
          <w:b/>
          <w:bCs/>
          <w:color w:val="003593"/>
          <w:sz w:val="40"/>
          <w:szCs w:val="40"/>
        </w:rPr>
        <w:t xml:space="preserve">Choix technologiques &amp; Architecture IA</w:t>
      </w:r>
    </w:p>
    <w:p>
      <w:pPr>
        <w:spacing w:before="400"/>
        <w:jc w:val="center"/>
      </w:pPr>
      <w:r>
        <w:rPr>
          <w:i/>
          <w:iCs/>
          <w:color w:val="5B5F6B"/>
          <w:sz w:val="26"/>
          <w:szCs w:val="26"/>
        </w:rPr>
        <w:t xml:space="preserve">Rapport technique — support de pitch de présentation</w:t>
      </w:r>
    </w:p>
    <w:p>
      <w:pPr>
        <w:spacing w:before="1200"/>
        <w:jc w:val="center"/>
      </w:pPr>
      <w:r>
        <w:rPr>
          <w:color w:val="5B5F6B"/>
          <w:sz w:val="22"/>
          <w:szCs w:val="22"/>
        </w:rPr>
        <w:t xml:space="preserve">30 juillet 2026</w:t>
      </w:r>
    </w:p>
    <w:p>
      <w:r>
        <w:br w:type="page"/>
      </w:r>
    </w:p>
    <w:p>
      <w:pPr>
        <w:pStyle w:val="Heading1"/>
        <w:spacing w:after="18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0. Résumé exécutif</w:t>
      </w:r>
    </w:p>
    <w:p>
      <w:pPr>
        <w:spacing w:after="160"/>
      </w:pPr>
      <w:r>
        <w:t xml:space="preserve">MonParcours est une plateforme citoyenne (estimation d'aide au logement APL, dépôt de dossier, assistance conversationnelle) construite sur un principe directeur : </w:t>
      </w:r>
      <w:r>
        <w:rPr>
          <w:b/>
          <w:bCs/>
        </w:rPr>
        <w:t xml:space="preserve">chaque brique IA a un filet de sécurité déterministe</w:t>
      </w:r>
      <w:r>
        <w:t xml:space="preserve">. Le système ne mise jamais uniquement sur un modèle de langage pour une décision qui doit être vérifiable, reproductible ou auditable (montant d'aide, conformité d'un document).</w:t>
      </w:r>
    </w:p>
    <w:p>
      <w:pPr>
        <w:spacing w:after="160"/>
      </w:pPr>
      <w:r>
        <w:t xml:space="preserve">L'IA générative est réservée à ce pour quoi elle est irremplaçable : comprendre le langage naturel, dialoguer, rédiger, raisonner sur du texte non structuré. Le calcul, lui, reste une formule que n'importe quel agent ou citoyen peut refaire à la main.</w:t>
      </w:r>
    </w:p>
    <w:p>
      <w:pPr>
        <w:spacing w:after="160"/>
      </w:pPr>
      <w:r>
        <w:t xml:space="preserve">Cette dualité "déterministe d'abord, LLM ensuite (ou en complément)" structure tout le document.</w:t>
      </w:r>
    </w:p>
    <w:p>
      <w:pPr>
        <w:pStyle w:val="Heading1"/>
        <w:spacing w:after="180" w:before="360"/>
      </w:pPr>
      <w:r>
        <w:t xml:space="preserve">1. Architecture backend</w:t>
      </w:r>
    </w:p>
    <w:p>
      <w:pPr>
        <w:spacing w:after="160"/>
      </w:pPr>
      <w:r>
        <w:rPr>
          <w:b/>
          <w:bCs/>
        </w:rPr>
        <w:t xml:space="preserve">Stack</w:t>
      </w:r>
      <w:r>
        <w:t xml:space="preserve"> : FastAPI 0.115 (async, ASGI) + SQLAlchemy 2.0 (ORM typé) + Alembic (migrations) + Pydantic v2 (validation stricte) + PostgreSQL + Uvicorn.</w:t>
      </w:r>
    </w:p>
    <w:p>
      <w:pPr>
        <w:pStyle w:val="Heading3"/>
        <w:spacing w:after="100" w:before="220"/>
      </w:pPr>
      <w:r>
        <w:t xml:space="preserve">Pourquoi FastAPI</w:t>
      </w:r>
    </w:p>
    <w:p>
      <w:pPr>
        <w:spacing w:after="160"/>
      </w:pPr>
      <w:r>
        <w:t xml:space="preserve">Framework async natif, validation de schéma intégrée via Pydantic, documentation OpenAPI générée automatiquement — précieux pour un pitch technique où l'on doit démontrer les contrats d'API rapidement.</w:t>
      </w:r>
    </w:p>
    <w:p>
      <w:pPr>
        <w:pStyle w:val="Heading3"/>
        <w:spacing w:after="100" w:before="220"/>
      </w:pPr>
      <w:r>
        <w:t xml:space="preserve">Pourquoi une architecture en couches (router → service → repository → modèle)</w:t>
      </w:r>
    </w:p>
    <w:p>
      <w:pPr>
        <w:spacing w:after="160"/>
      </w:pPr>
      <w:r>
        <w:t xml:space="preserve">Chaque module (</w:t>
      </w:r>
      <w:r>
        <w:rPr>
          <w:rFonts w:ascii="Consolas" w:cs="Consolas" w:eastAsia="Consolas" w:hAnsi="Consolas"/>
          <w:color w:val="003593"/>
          <w:shd w:fill="EDEEF3" w:val="clear"/>
        </w:rPr>
        <w:t xml:space="preserve">auth</w:t>
      </w:r>
      <w:r>
        <w:t xml:space="preserve">, </w:t>
      </w:r>
      <w:r>
        <w:rPr>
          <w:rFonts w:ascii="Consolas" w:cs="Consolas" w:eastAsia="Consolas" w:hAnsi="Consolas"/>
          <w:color w:val="003593"/>
          <w:shd w:fill="EDEEF3" w:val="clear"/>
        </w:rPr>
        <w:t xml:space="preserve">chatbot</w:t>
      </w:r>
      <w:r>
        <w:t xml:space="preserve">, </w:t>
      </w:r>
      <w:r>
        <w:rPr>
          <w:rFonts w:ascii="Consolas" w:cs="Consolas" w:eastAsia="Consolas" w:hAnsi="Consolas"/>
          <w:color w:val="003593"/>
          <w:shd w:fill="EDEEF3" w:val="clear"/>
        </w:rPr>
        <w:t xml:space="preserve">citizen</w:t>
      </w:r>
      <w:r>
        <w:t xml:space="preserve">, </w:t>
      </w:r>
      <w:r>
        <w:rPr>
          <w:rFonts w:ascii="Consolas" w:cs="Consolas" w:eastAsia="Consolas" w:hAnsi="Consolas"/>
          <w:color w:val="003593"/>
          <w:shd w:fill="EDEEF3" w:val="clear"/>
        </w:rPr>
        <w:t xml:space="preserve">agent</w:t>
      </w:r>
      <w:r>
        <w:t xml:space="preserve">, </w:t>
      </w:r>
      <w:r>
        <w:rPr>
          <w:rFonts w:ascii="Consolas" w:cs="Consolas" w:eastAsia="Consolas" w:hAnsi="Consolas"/>
          <w:color w:val="003593"/>
          <w:shd w:fill="EDEEF3" w:val="clear"/>
        </w:rPr>
        <w:t xml:space="preserve">audit</w:t>
      </w:r>
      <w:r>
        <w:t xml:space="preserve">, </w:t>
      </w:r>
      <w:r>
        <w:rPr>
          <w:rFonts w:ascii="Consolas" w:cs="Consolas" w:eastAsia="Consolas" w:hAnsi="Consolas"/>
          <w:color w:val="003593"/>
          <w:shd w:fill="EDEEF3" w:val="clear"/>
        </w:rPr>
        <w:t xml:space="preserve">contestation</w:t>
      </w:r>
      <w:r>
        <w:t xml:space="preserve">, </w:t>
      </w:r>
      <w:r>
        <w:rPr>
          <w:rFonts w:ascii="Consolas" w:cs="Consolas" w:eastAsia="Consolas" w:hAnsi="Consolas"/>
          <w:color w:val="003593"/>
          <w:shd w:fill="EDEEF3" w:val="clear"/>
        </w:rPr>
        <w:t xml:space="preserve">notifications</w:t>
      </w:r>
      <w:r>
        <w:t xml:space="preserve">, </w:t>
      </w:r>
      <w:r>
        <w:rPr>
          <w:rFonts w:ascii="Consolas" w:cs="Consolas" w:eastAsia="Consolas" w:hAnsi="Consolas"/>
          <w:color w:val="003593"/>
          <w:shd w:fill="EDEEF3" w:val="clear"/>
        </w:rPr>
        <w:t xml:space="preserve">ai.coherence</w:t>
      </w:r>
      <w:r>
        <w:t xml:space="preserve">, </w:t>
      </w:r>
      <w:r>
        <w:rPr>
          <w:rFonts w:ascii="Consolas" w:cs="Consolas" w:eastAsia="Consolas" w:hAnsi="Consolas"/>
          <w:color w:val="003593"/>
          <w:shd w:fill="EDEEF3" w:val="clear"/>
        </w:rPr>
        <w:t xml:space="preserve">ai.checklist</w:t>
      </w:r>
      <w:r>
        <w:t xml:space="preserve">, </w:t>
      </w:r>
      <w:r>
        <w:rPr>
          <w:rFonts w:ascii="Consolas" w:cs="Consolas" w:eastAsia="Consolas" w:hAnsi="Consolas"/>
          <w:color w:val="003593"/>
          <w:shd w:fill="EDEEF3" w:val="clear"/>
        </w:rPr>
        <w:t xml:space="preserve">voice</w:t>
      </w:r>
      <w:r>
        <w:t xml:space="preserve">, </w:t>
      </w:r>
      <w:r>
        <w:rPr>
          <w:rFonts w:ascii="Consolas" w:cs="Consolas" w:eastAsia="Consolas" w:hAnsi="Consolas"/>
          <w:color w:val="003593"/>
          <w:shd w:fill="EDEEF3" w:val="clear"/>
        </w:rPr>
        <w:t xml:space="preserve">profiling</w:t>
      </w:r>
      <w:r>
        <w:t xml:space="preserve">) suit strictement ce découpage. Le router ne fait que parser la requête HTTP ; le service porte la règle métier ; le repository ne fait que la requête SQL. Conséquence directe : la logique métier (ex. calcul d'éligibilité) est testable sans base de données et réutilisable entre deux endpoints.</w:t>
      </w:r>
    </w:p>
    <w:p>
      <w:pPr>
        <w:pStyle w:val="Heading3"/>
        <w:spacing w:after="100" w:before="220"/>
      </w:pPr>
      <w:r>
        <w:t xml:space="preserve">Fiabilité de connexion</w:t>
      </w:r>
    </w:p>
    <w:p>
      <w:pPr>
        <w:spacing w:after="160"/>
      </w:pPr>
      <w:r>
        <w:t xml:space="preserve">Le pool SQLAlchemy est configuré avec </w:t>
      </w:r>
      <w:r>
        <w:rPr>
          <w:rFonts w:ascii="Consolas" w:cs="Consolas" w:eastAsia="Consolas" w:hAnsi="Consolas"/>
          <w:color w:val="003593"/>
          <w:shd w:fill="EDEEF3" w:val="clear"/>
        </w:rPr>
        <w:t xml:space="preserve">pool_pre_ping=True</w:t>
      </w:r>
      <w:r>
        <w:t xml:space="preserve">.</w:t>
      </w:r>
    </w:p>
    <w:p>
      <w:pPr>
        <w:pBdr>
          <w:left w:val="single" w:color="003593" w:sz="18" w:space="12"/>
        </w:pBdr>
        <w:shd w:fill="F0F4FF" w:val="clear"/>
        <w:spacing w:after="200" w:before="80"/>
        <w:ind w:left="480"/>
      </w:pPr>
      <w:r>
        <w:rPr>
          <w:i/>
          <w:iCs/>
          <w:color w:val="5B5F6B"/>
        </w:rPr>
        <w:t xml:space="preserve">« Sans cela, une connexion coupée par un redémarrage PostgreSQL ou un timeout d'inactivité est remise à une requête et échoue là — une classe d'erreur intermittente pénible à diagnostiquer. »</w:t>
      </w:r>
    </w:p>
    <w:p>
      <w:pPr>
        <w:spacing w:after="160"/>
      </w:pPr>
      <w:r>
        <w:t xml:space="preserve">Le serveur vérifie aussi la connectivité PostgreSQL </w:t>
      </w:r>
      <w:r>
        <w:rPr>
          <w:b/>
          <w:bCs/>
        </w:rPr>
        <w:t xml:space="preserve">avant</w:t>
      </w:r>
      <w:r>
        <w:t xml:space="preserve"> d'ouvrir le port, plutôt que de répondre 200 puis échouer sur chaque appel.</w:t>
      </w:r>
    </w:p>
    <w:p>
      <w:pPr>
        <w:pStyle w:val="Heading3"/>
        <w:spacing w:after="100" w:before="220"/>
      </w:pPr>
      <w:r>
        <w:t xml:space="preserve">Configuration (Pydantic Settings + .env)</w:t>
      </w:r>
    </w:p>
    <w:p>
      <w:pPr>
        <w:spacing w:after="160"/>
      </w:pPr>
      <w:r>
        <w:t xml:space="preserve">Toute variable d'environnement entre dans l'application à un seul endroit.</w:t>
      </w:r>
    </w:p>
    <w:p>
      <w:pPr>
        <w:pBdr>
          <w:left w:val="single" w:color="003593" w:sz="18" w:space="12"/>
        </w:pBdr>
        <w:shd w:fill="F0F4FF" w:val="clear"/>
        <w:spacing w:after="200" w:before="80"/>
        <w:ind w:left="480"/>
      </w:pPr>
      <w:r>
        <w:rPr>
          <w:i/>
          <w:iCs/>
          <w:color w:val="5B5F6B"/>
        </w:rPr>
        <w:t xml:space="preserve">« No credential has a default. A backend that silently falls back to postgres/postgres is a backend that connects to the wrong database in an environment where someone forgot to set it. »</w:t>
      </w:r>
    </w:p>
    <w:p>
      <w:pPr>
        <w:spacing w:after="160"/>
      </w:pPr>
      <w:r>
        <w:t xml:space="preserve">Aucune valeur de credential n'a de défaut — un oubli échoue bruyamment au démarrage plutôt que silencieusement en production.</w:t>
      </w:r>
    </w:p>
    <w:p>
      <w:pPr>
        <w:pStyle w:val="Heading1"/>
        <w:spacing w:after="180" w:before="360"/>
      </w:pPr>
      <w:r>
        <w:t xml:space="preserve">2. Authentification &amp; sécurité</w:t>
      </w:r>
    </w:p>
    <w:p>
      <w:pPr>
        <w:spacing w:after="160"/>
      </w:pPr>
      <w:r>
        <w:rPr>
          <w:b/>
          <w:bCs/>
        </w:rPr>
        <w:t xml:space="preserve">JWT stateless (HS256)</w:t>
      </w:r>
      <w:r>
        <w:t xml:space="preserve">, bcrypt pour le hachage des mots de passe, jetons courts (30 minutes par défaut).</w:t>
      </w:r>
    </w:p>
    <w:p>
      <w:pPr>
        <w:pBdr>
          <w:left w:val="single" w:color="003593" w:sz="18" w:space="12"/>
        </w:pBdr>
        <w:shd w:fill="F0F4FF" w:val="clear"/>
        <w:spacing w:after="200" w:before="80"/>
        <w:ind w:left="480"/>
      </w:pPr>
      <w:r>
        <w:rPr>
          <w:i/>
          <w:iCs/>
          <w:color w:val="5B5F6B"/>
        </w:rPr>
        <w:t xml:space="preserve">« Deliberately short-lived... No refresh token yet, so a re-login is needed after expiry — acceptable for the two-role foundation this establishes. »</w:t>
      </w:r>
    </w:p>
    <w:p>
      <w:pPr>
        <w:pStyle w:val="Heading3"/>
        <w:spacing w:after="100" w:before="220"/>
      </w:pPr>
      <w:r>
        <w:t xml:space="preserve">Accès invité contrôlé</w:t>
      </w:r>
    </w:p>
    <w:p>
      <w:pPr>
        <w:spacing w:after="160"/>
      </w:pPr>
      <w:r>
        <w:t xml:space="preserve">Le chatbot accepte un JWT optionnel (</w:t>
      </w:r>
      <w:r>
        <w:rPr>
          <w:rFonts w:ascii="Consolas" w:cs="Consolas" w:eastAsia="Consolas" w:hAnsi="Consolas"/>
          <w:color w:val="003593"/>
          <w:shd w:fill="EDEEF3" w:val="clear"/>
        </w:rPr>
        <w:t xml:space="preserve">get_current_user_optional</w:t>
      </w:r>
      <w:r>
        <w:t xml:space="preserve">) — le rôle module le périmètre documentaire consulté, mais aucune session n'est requise.</w:t>
      </w:r>
    </w:p>
    <w:p>
      <w:pPr>
        <w:pBdr>
          <w:left w:val="single" w:color="003593" w:sz="18" w:space="12"/>
        </w:pBdr>
        <w:shd w:fill="F0F4FF" w:val="clear"/>
        <w:spacing w:after="200" w:before="80"/>
        <w:ind w:left="480"/>
      </w:pPr>
      <w:r>
        <w:rPr>
          <w:i/>
          <w:iCs/>
          <w:color w:val="5B5F6B"/>
        </w:rPr>
        <w:t xml:space="preserve">« Le token JWT est optionnel et ne sert qu'à connaître le rôle de l'appelant... Sans token, il répond exactement pareil — c'est ce qui permet d'exposer plus tard le même moteur sur un canal sans compte (WhatsApp). »</w:t>
      </w:r>
    </w:p>
    <w:p>
      <w:pPr>
        <w:pStyle w:val="Heading3"/>
        <w:spacing w:after="100" w:before="220"/>
      </w:pPr>
      <w:r>
        <w:t xml:space="preserve">Masquage du NIR (numéro de sécurité sociale)</w:t>
      </w:r>
    </w:p>
    <w:p>
      <w:pPr>
        <w:spacing w:after="160"/>
      </w:pPr>
      <w:r>
        <w:t xml:space="preserve">Centralisé dans une seule fonction :</w:t>
      </w:r>
    </w:p>
    <w:p>
      <w:pPr>
        <w:pBdr>
          <w:left w:val="single" w:color="003593" w:sz="18" w:space="12"/>
        </w:pBdr>
        <w:shd w:fill="F0F4FF" w:val="clear"/>
        <w:spacing w:after="200" w:before="80"/>
        <w:ind w:left="480"/>
      </w:pPr>
      <w:r>
        <w:rPr>
          <w:i/>
          <w:iCs/>
          <w:color w:val="5B5F6B"/>
        </w:rPr>
        <w:t xml:space="preserve">« This is the only place a NIR is transformed for display... enforcing that in one function means a new endpoint cannot forget the rule. »</w:t>
      </w:r>
    </w:p>
    <w:p>
      <w:pPr>
        <w:pStyle w:val="Heading1"/>
        <w:spacing w:after="180" w:before="360"/>
      </w:pPr>
      <w:r>
        <w:t xml:space="preserve">3. Frontend</w:t>
      </w:r>
    </w:p>
    <w:p>
      <w:pPr>
        <w:spacing w:after="160"/>
      </w:pPr>
      <w:r>
        <w:rPr>
          <w:b/>
          <w:bCs/>
        </w:rPr>
        <w:t xml:space="preserve">Stack</w:t>
      </w:r>
      <w:r>
        <w:t xml:space="preserve"> : React 18 + TypeScript + Vite 6 + React Router v6 (</w:t>
      </w:r>
      <w:r>
        <w:rPr>
          <w:rFonts w:ascii="Consolas" w:cs="Consolas" w:eastAsia="Consolas" w:hAnsi="Consolas"/>
          <w:color w:val="003593"/>
          <w:shd w:fill="EDEEF3" w:val="clear"/>
        </w:rPr>
        <w:t xml:space="preserve">createBrowserRouter</w:t>
      </w:r>
      <w:r>
        <w:t xml:space="preserve">) + Zustand + Tailwind CSS + Radix UI.</w:t>
      </w:r>
    </w:p>
    <w:p>
      <w:pPr>
        <w:pStyle w:val="Heading3"/>
        <w:spacing w:after="100" w:before="220"/>
      </w:pPr>
      <w:r>
        <w:t xml:space="preserve">Pourquoi Vite</w:t>
      </w:r>
    </w:p>
    <w:p>
      <w:pPr>
        <w:spacing w:after="160"/>
      </w:pPr>
      <w:r>
        <w:t xml:space="preserve">HMR rapide, démarrage à froid quasi instantané, ESM natif — critique pour l'itération rapide en démo/pitch.</w:t>
      </w:r>
    </w:p>
    <w:p>
      <w:pPr>
        <w:pStyle w:val="Heading3"/>
        <w:spacing w:after="100" w:before="220"/>
      </w:pPr>
      <w:r>
        <w:t xml:space="preserve">Pourquoi React Router v6 (data router)</w:t>
      </w:r>
    </w:p>
    <w:p>
      <w:pPr>
        <w:spacing w:after="160"/>
      </w:pPr>
      <w:r>
        <w:t xml:space="preserve">Routes imbriquées avec layouts partagés, garde d'accès au niveau route (</w:t>
      </w:r>
      <w:r>
        <w:rPr>
          <w:rFonts w:ascii="Consolas" w:cs="Consolas" w:eastAsia="Consolas" w:hAnsi="Consolas"/>
          <w:color w:val="003593"/>
          <w:shd w:fill="EDEEF3" w:val="clear"/>
        </w:rPr>
        <w:t xml:space="preserve">ProtectedRoute</w:t>
      </w:r>
      <w:r>
        <w:t xml:space="preserve">), chargement paresseux (</w:t>
      </w:r>
      <w:r>
        <w:rPr>
          <w:rFonts w:ascii="Consolas" w:cs="Consolas" w:eastAsia="Consolas" w:hAnsi="Consolas"/>
          <w:color w:val="003593"/>
          <w:shd w:fill="EDEEF3" w:val="clear"/>
        </w:rPr>
        <w:t xml:space="preserve">lazy()</w:t>
      </w:r>
      <w:r>
        <w:t xml:space="preserve">) de chaque page.</w:t>
      </w:r>
    </w:p>
    <w:p>
      <w:pPr>
        <w:pStyle w:val="Heading3"/>
        <w:spacing w:after="100" w:before="220"/>
      </w:pPr>
      <w:r>
        <w:t xml:space="preserve">Pourquoi Zustand plutôt que Redux</w:t>
      </w:r>
    </w:p>
    <w:p>
      <w:pPr>
        <w:spacing w:after="160"/>
      </w:pPr>
      <w:r>
        <w:t xml:space="preserve">Pas de boilerplate, middleware </w:t>
      </w:r>
      <w:r>
        <w:rPr>
          <w:rFonts w:ascii="Consolas" w:cs="Consolas" w:eastAsia="Consolas" w:hAnsi="Consolas"/>
          <w:color w:val="003593"/>
          <w:shd w:fill="EDEEF3" w:val="clear"/>
        </w:rPr>
        <w:t xml:space="preserve">persist</w:t>
      </w:r>
      <w:r>
        <w:t xml:space="preserve"> natif. Séparation stricte : </w:t>
      </w:r>
      <w:r>
        <w:rPr>
          <w:rFonts w:ascii="Consolas" w:cs="Consolas" w:eastAsia="Consolas" w:hAnsi="Consolas"/>
          <w:color w:val="003593"/>
          <w:shd w:fill="EDEEF3" w:val="clear"/>
        </w:rPr>
        <w:t xml:space="preserve">sessionStore</w:t>
      </w:r>
      <w:r>
        <w:t xml:space="preserve"> (authentification) vs </w:t>
      </w:r>
      <w:r>
        <w:rPr>
          <w:rFonts w:ascii="Consolas" w:cs="Consolas" w:eastAsia="Consolas" w:hAnsi="Consolas"/>
          <w:color w:val="003593"/>
          <w:shd w:fill="EDEEF3" w:val="clear"/>
        </w:rPr>
        <w:t xml:space="preserve">uiStore</w:t>
      </w:r>
      <w:r>
        <w:t xml:space="preserve"> (état d'interface).</w:t>
      </w:r>
    </w:p>
    <w:p>
      <w:pPr>
        <w:pBdr>
          <w:left w:val="single" w:color="003593" w:sz="18" w:space="12"/>
        </w:pBdr>
        <w:shd w:fill="F0F4FF" w:val="clear"/>
        <w:spacing w:after="200" w:before="80"/>
        <w:ind w:left="480"/>
      </w:pPr>
      <w:r>
        <w:rPr>
          <w:i/>
          <w:iCs/>
          <w:color w:val="5B5F6B"/>
        </w:rPr>
        <w:t xml:space="preserve">« UI-only state. Business state belongs to its feature module — this store must stay free of domain concepts. »</w:t>
      </w:r>
    </w:p>
    <w:p>
      <w:pPr>
        <w:spacing w:after="160"/>
      </w:pPr>
      <w:r>
        <w:t xml:space="preserve">Seules les préférences d'accessibilité survivent au rechargement de page (persistées en localStorage) ; le reste de l'état UI est volatile par choix.</w:t>
      </w:r>
    </w:p>
    <w:p>
      <w:pPr>
        <w:pStyle w:val="Heading3"/>
        <w:spacing w:after="100" w:before="220"/>
      </w:pPr>
      <w:r>
        <w:t xml:space="preserve">Pourquoi Radix UI plutôt que MUI/Chakra</w:t>
      </w:r>
    </w:p>
    <w:p>
      <w:pPr>
        <w:spacing w:after="160"/>
      </w:pPr>
      <w:r>
        <w:t xml:space="preserve">Primitives non stylées mais totalement accessibles (focus, aria, clavier) — le design (« République Assistée ») reste 100% maîtrisé via Tailwind + </w:t>
      </w:r>
      <w:r>
        <w:rPr>
          <w:rFonts w:ascii="Consolas" w:cs="Consolas" w:eastAsia="Consolas" w:hAnsi="Consolas"/>
          <w:color w:val="003593"/>
          <w:shd w:fill="EDEEF3" w:val="clear"/>
        </w:rPr>
        <w:t xml:space="preserve">class-variance-authority</w:t>
      </w:r>
      <w:r>
        <w:t xml:space="preserve">, sans combattre le CSS d'une librairie de composants imposée.</w:t>
      </w:r>
    </w:p>
    <w:p>
      <w:pPr>
        <w:pStyle w:val="Heading3"/>
        <w:spacing w:after="100" w:before="220"/>
      </w:pPr>
      <w:r>
        <w:t xml:space="preserve">Système de design "République Assistée"</w:t>
      </w:r>
    </w:p>
    <w:p>
      <w:pPr>
        <w:spacing w:after="160"/>
      </w:pPr>
      <w:r>
        <w:t xml:space="preserve">Tokens de couleur/typo extraits dans </w:t>
      </w:r>
      <w:r>
        <w:rPr>
          <w:rFonts w:ascii="Consolas" w:cs="Consolas" w:eastAsia="Consolas" w:hAnsi="Consolas"/>
          <w:color w:val="003593"/>
          <w:shd w:fill="EDEEF3" w:val="clear"/>
        </w:rPr>
        <w:t xml:space="preserve">tailwind.config.ts</w:t>
      </w:r>
      <w:r>
        <w:t xml:space="preserve">, mais branchés sur des variables CSS (</w:t>
      </w:r>
      <w:r>
        <w:rPr>
          <w:rFonts w:ascii="Consolas" w:cs="Consolas" w:eastAsia="Consolas" w:hAnsi="Consolas"/>
          <w:color w:val="003593"/>
          <w:shd w:fill="EDEEF3" w:val="clear"/>
        </w:rPr>
        <w:t xml:space="preserve">index.css</w:t>
      </w:r>
      <w:r>
        <w:t xml:space="preserve">) plutôt que compilés en dur.</w:t>
      </w:r>
    </w:p>
    <w:p>
      <w:pPr>
        <w:pBdr>
          <w:left w:val="single" w:color="003593" w:sz="18" w:space="12"/>
        </w:pBdr>
        <w:shd w:fill="F0F4FF" w:val="clear"/>
        <w:spacing w:after="200" w:before="80"/>
        <w:ind w:left="480"/>
      </w:pPr>
      <w:r>
        <w:rPr>
          <w:i/>
          <w:iCs/>
          <w:color w:val="5B5F6B"/>
        </w:rPr>
        <w:t xml:space="preserve">« Colors are wired to CSS variables... so that the accessibility preferences (high contrast, etc.) can override them at runtime without rebuilding the utility classes. »</w:t>
      </w:r>
    </w:p>
    <w:p>
      <w:pPr>
        <w:spacing w:after="160"/>
      </w:pPr>
      <w:r>
        <w:t xml:space="preserve">Cela permet au contraste élevé, au texte agrandi, etc. de s'appliquer sans recompilation.</w:t>
      </w:r>
    </w:p>
    <w:p>
      <w:pPr>
        <w:pStyle w:val="Heading3"/>
        <w:spacing w:after="100" w:before="220"/>
      </w:pPr>
      <w:r>
        <w:t xml:space="preserve">Accessibilité (RGAA) comme exigence d'architecture, pas comme retouche finale</w:t>
      </w:r>
    </w:p>
    <w:p>
      <w:pPr>
        <w:spacing w:after="160"/>
      </w:pPr>
      <w:r>
        <w:t xml:space="preserve">Lien d'évitement, structure sémantique (un seul </w:t>
      </w:r>
      <w:r>
        <w:rPr>
          <w:rFonts w:ascii="Consolas" w:cs="Consolas" w:eastAsia="Consolas" w:hAnsi="Consolas"/>
          <w:color w:val="003593"/>
          <w:shd w:fill="EDEEF3" w:val="clear"/>
        </w:rPr>
        <w:t xml:space="preserve">h1</w:t>
      </w:r>
      <w:r>
        <w:t xml:space="preserve">/page), </w:t>
      </w:r>
      <w:r>
        <w:rPr>
          <w:rFonts w:ascii="Consolas" w:cs="Consolas" w:eastAsia="Consolas" w:hAnsi="Consolas"/>
          <w:color w:val="003593"/>
          <w:shd w:fill="EDEEF3" w:val="clear"/>
        </w:rPr>
        <w:t xml:space="preserve">aria-hidden</w:t>
      </w:r>
      <w:r>
        <w:t xml:space="preserve"> sur les icônes décoratives, cibles tactiles ≥44px, et sept préférences persistées (contraste élevé, texte agrandi, focus renforcé, animations réduites…) appliquées via des classes sur </w:t>
      </w:r>
      <w:r>
        <w:rPr>
          <w:rFonts w:ascii="Consolas" w:cs="Consolas" w:eastAsia="Consolas" w:hAnsi="Consolas"/>
          <w:color w:val="003593"/>
          <w:shd w:fill="EDEEF3" w:val="clear"/>
        </w:rPr>
        <w:t xml:space="preserve">&lt;html&gt;</w:t>
      </w:r>
      <w:r>
        <w:t xml:space="preserve">.</w:t>
      </w:r>
    </w:p>
    <w:p>
      <w:pPr>
        <w:pStyle w:val="Heading1"/>
        <w:spacing w:after="180" w:before="360"/>
      </w:pPr>
      <w:r>
        <w:t xml:space="preserve">4. Le cœur du pitch — Architecture IA</w:t>
      </w:r>
    </w:p>
    <w:p>
      <w:pPr>
        <w:pStyle w:val="Heading2"/>
        <w:spacing w:after="140" w:before="280"/>
      </w:pPr>
      <w:r>
        <w:t xml:space="preserve">4.1 Principe transversal : déterministe d'abord, LLM ensuite</w:t>
      </w:r>
    </w:p>
    <w:p>
      <w:pPr>
        <w:spacing w:after="160"/>
      </w:pPr>
      <w:r>
        <w:t xml:space="preserve">Le tableau ci-dessous résume, fonctionnalité par fonctionnalité, où l'IA générative intervient réellement et où elle est volontairement absente.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3300"/>
      </w:tblGrid>
      <w:tr>
        <w:trPr>
          <w:tblHeader/>
        </w:trPr>
        <w:tc>
          <w:tcPr>
            <w:tcW w:type="dxa" w:w="2400"/>
            <w:shd w:fill="000929" w:val="clear"/>
            <w:tcMar>
              <w:top w:type="dxa" w:w="80"/>
              <w:left w:type="dxa" w:w="100"/>
              <w:bottom w:type="dxa" w:w="80"/>
              <w:right w:type="dxa" w:w="100"/>
            </w:tcMar>
            <w:vAlign w:val="center"/>
          </w:tcPr>
          <w:p>
            <w:pPr>
              <w:spacing w:after="0"/>
            </w:pPr>
            <w:r>
              <w:rPr>
                <w:b/>
                <w:bCs/>
                <w:color w:val="FFFFFF"/>
              </w:rPr>
              <w:t xml:space="preserve">Fonctionnalité</w:t>
            </w:r>
          </w:p>
        </w:tc>
        <w:tc>
          <w:tcPr>
            <w:tcW w:type="dxa" w:w="1500"/>
            <w:shd w:fill="000929" w:val="clear"/>
            <w:tcMar>
              <w:top w:type="dxa" w:w="80"/>
              <w:left w:type="dxa" w:w="100"/>
              <w:bottom w:type="dxa" w:w="80"/>
              <w:right w:type="dxa" w:w="100"/>
            </w:tcMar>
            <w:vAlign w:val="center"/>
          </w:tcPr>
          <w:p>
            <w:pPr>
              <w:spacing w:after="0"/>
            </w:pPr>
            <w:r>
              <w:rPr>
                <w:b/>
                <w:bCs/>
                <w:color w:val="FFFFFF"/>
              </w:rPr>
              <w:t xml:space="preserve">IA générative (LLM) ?</w:t>
            </w:r>
          </w:p>
        </w:tc>
        <w:tc>
          <w:tcPr>
            <w:tcW w:type="dxa" w:w="3200"/>
            <w:shd w:fill="000929" w:val="clear"/>
            <w:tcMar>
              <w:top w:type="dxa" w:w="80"/>
              <w:left w:type="dxa" w:w="100"/>
              <w:bottom w:type="dxa" w:w="80"/>
              <w:right w:type="dxa" w:w="100"/>
            </w:tcMar>
            <w:vAlign w:val="center"/>
          </w:tcPr>
          <w:p>
            <w:pPr>
              <w:spacing w:after="0"/>
            </w:pPr>
            <w:r>
              <w:rPr>
                <w:b/>
                <w:bCs/>
                <w:color w:val="FFFFFF"/>
              </w:rPr>
              <w:t xml:space="preserve">Modèle</w:t>
            </w:r>
          </w:p>
        </w:tc>
        <w:tc>
          <w:tcPr>
            <w:tcW w:type="dxa" w:w="3300"/>
            <w:shd w:fill="000929" w:val="clear"/>
            <w:tcMar>
              <w:top w:type="dxa" w:w="80"/>
              <w:left w:type="dxa" w:w="100"/>
              <w:bottom w:type="dxa" w:w="80"/>
              <w:right w:type="dxa" w:w="100"/>
            </w:tcMar>
            <w:vAlign w:val="center"/>
          </w:tcPr>
          <w:p>
            <w:pPr>
              <w:spacing w:after="0"/>
            </w:pPr>
            <w:r>
              <w:rPr>
                <w:b/>
                <w:bCs/>
                <w:color w:val="FFFFFF"/>
              </w:rPr>
              <w:t xml:space="preserve">Filet déterministe</w:t>
            </w:r>
          </w:p>
        </w:tc>
      </w:tr>
      <w:tr>
        <w:tc>
          <w:tcPr>
            <w:tcW w:type="dxa" w:w="2400"/>
            <w:tcMar>
              <w:top w:type="dxa" w:w="80"/>
              <w:left w:type="dxa" w:w="100"/>
              <w:bottom w:type="dxa" w:w="80"/>
              <w:right w:type="dxa" w:w="100"/>
            </w:tcMar>
            <w:vAlign w:val="center"/>
          </w:tcPr>
          <w:p>
            <w:pPr>
              <w:spacing w:after="0"/>
            </w:pPr>
            <w:r>
              <w:rPr>
                <w:b w:val="false"/>
                <w:bCs w:val="false"/>
              </w:rPr>
              <w:t xml:space="preserve">Estimation de l'aide au logement (APL)</w:t>
            </w:r>
          </w:p>
        </w:tc>
        <w:tc>
          <w:tcPr>
            <w:tcW w:type="dxa" w:w="1500"/>
            <w:tcMar>
              <w:top w:type="dxa" w:w="80"/>
              <w:left w:type="dxa" w:w="100"/>
              <w:bottom w:type="dxa" w:w="80"/>
              <w:right w:type="dxa" w:w="100"/>
            </w:tcMar>
            <w:vAlign w:val="center"/>
          </w:tcPr>
          <w:p>
            <w:pPr>
              <w:spacing w:after="0"/>
            </w:pPr>
            <w:r>
              <w:rPr>
                <w:b w:val="false"/>
                <w:bCs w:val="false"/>
              </w:rPr>
              <w:t xml:space="preserve">Non — jamais</w:t>
            </w:r>
          </w:p>
        </w:tc>
        <w:tc>
          <w:tcPr>
            <w:tcW w:type="dxa" w:w="3200"/>
            <w:tcMar>
              <w:top w:type="dxa" w:w="80"/>
              <w:left w:type="dxa" w:w="100"/>
              <w:bottom w:type="dxa" w:w="80"/>
              <w:right w:type="dxa" w:w="100"/>
            </w:tcMar>
            <w:vAlign w:val="center"/>
          </w:tcPr>
          <w:p>
            <w:pPr>
              <w:spacing w:after="0"/>
            </w:pPr>
            <w:r>
              <w:rPr>
                <w:b w:val="false"/>
                <w:bCs w:val="false"/>
              </w:rPr>
              <w:t xml:space="preserve">—</w:t>
            </w:r>
          </w:p>
        </w:tc>
        <w:tc>
          <w:tcPr>
            <w:tcW w:type="dxa" w:w="3300"/>
            <w:tcMar>
              <w:top w:type="dxa" w:w="80"/>
              <w:left w:type="dxa" w:w="100"/>
              <w:bottom w:type="dxa" w:w="80"/>
              <w:right w:type="dxa" w:w="100"/>
            </w:tcMar>
            <w:vAlign w:val="center"/>
          </w:tcPr>
          <w:p>
            <w:pPr>
              <w:spacing w:after="0"/>
            </w:pPr>
            <w:r>
              <w:rPr>
                <w:b w:val="false"/>
                <w:bCs w:val="false"/>
              </w:rPr>
              <w:t xml:space="preserve">Formule barème CAF (L + C − PP), calcul reproductible à la main</w:t>
            </w:r>
          </w:p>
        </w:tc>
      </w:tr>
      <w:tr>
        <w:tc>
          <w:tcPr>
            <w:tcW w:type="dxa" w:w="2400"/>
            <w:shd w:fill="F7F7F9" w:val="clear"/>
            <w:tcMar>
              <w:top w:type="dxa" w:w="80"/>
              <w:left w:type="dxa" w:w="100"/>
              <w:bottom w:type="dxa" w:w="80"/>
              <w:right w:type="dxa" w:w="100"/>
            </w:tcMar>
            <w:vAlign w:val="center"/>
          </w:tcPr>
          <w:p>
            <w:pPr>
              <w:spacing w:after="0"/>
            </w:pPr>
            <w:r>
              <w:rPr>
                <w:b w:val="false"/>
                <w:bCs w:val="false"/>
              </w:rPr>
              <w:t xml:space="preserve">Assistant conversationnel (RAG)</w:t>
            </w:r>
          </w:p>
        </w:tc>
        <w:tc>
          <w:tcPr>
            <w:tcW w:type="dxa" w:w="1500"/>
            <w:shd w:fill="F7F7F9" w:val="clear"/>
            <w:tcMar>
              <w:top w:type="dxa" w:w="80"/>
              <w:left w:type="dxa" w:w="100"/>
              <w:bottom w:type="dxa" w:w="80"/>
              <w:right w:type="dxa" w:w="100"/>
            </w:tcMar>
            <w:vAlign w:val="center"/>
          </w:tcPr>
          <w:p>
            <w:pPr>
              <w:spacing w:after="0"/>
            </w:pPr>
            <w:r>
              <w:rPr>
                <w:b w:val="false"/>
                <w:bCs w:val="false"/>
              </w:rPr>
              <w:t xml:space="preserve">Oui</w:t>
            </w:r>
          </w:p>
        </w:tc>
        <w:tc>
          <w:tcPr>
            <w:tcW w:type="dxa" w:w="3200"/>
            <w:shd w:fill="F7F7F9" w:val="clear"/>
            <w:tcMar>
              <w:top w:type="dxa" w:w="80"/>
              <w:left w:type="dxa" w:w="100"/>
              <w:bottom w:type="dxa" w:w="80"/>
              <w:right w:type="dxa" w:w="100"/>
            </w:tcMar>
            <w:vAlign w:val="center"/>
          </w:tcPr>
          <w:p>
            <w:pPr>
              <w:spacing w:after="0"/>
            </w:pPr>
            <w:r>
              <w:rPr>
                <w:b w:val="false"/>
                <w:bCs w:val="false"/>
              </w:rPr>
              <w:t xml:space="preserve">Mistral (mistral-medium-latest routage, mistral-small-latest génération)</w:t>
            </w:r>
          </w:p>
        </w:tc>
        <w:tc>
          <w:tcPr>
            <w:tcW w:type="dxa" w:w="3300"/>
            <w:shd w:fill="F7F7F9" w:val="clear"/>
            <w:tcMar>
              <w:top w:type="dxa" w:w="80"/>
              <w:left w:type="dxa" w:w="100"/>
              <w:bottom w:type="dxa" w:w="80"/>
              <w:right w:type="dxa" w:w="100"/>
            </w:tcMar>
            <w:vAlign w:val="center"/>
          </w:tcPr>
          <w:p>
            <w:pPr>
              <w:spacing w:after="0"/>
            </w:pPr>
            <w:r>
              <w:rPr>
                <w:b w:val="false"/>
                <w:bCs w:val="false"/>
              </w:rPr>
              <w:t xml:space="preserve">Recherche hybride BM25 + vecteurs, réponses forcées sur extraits sourcés</w:t>
            </w:r>
          </w:p>
        </w:tc>
      </w:tr>
      <w:tr>
        <w:tc>
          <w:tcPr>
            <w:tcW w:type="dxa" w:w="2400"/>
            <w:tcMar>
              <w:top w:type="dxa" w:w="80"/>
              <w:left w:type="dxa" w:w="100"/>
              <w:bottom w:type="dxa" w:w="80"/>
              <w:right w:type="dxa" w:w="100"/>
            </w:tcMar>
            <w:vAlign w:val="center"/>
          </w:tcPr>
          <w:p>
            <w:pPr>
              <w:spacing w:after="0"/>
            </w:pPr>
            <w:r>
              <w:rPr>
                <w:b w:val="false"/>
                <w:bCs w:val="false"/>
              </w:rPr>
              <w:t xml:space="preserve">Assistant vocal — compréhension de commande</w:t>
            </w:r>
          </w:p>
        </w:tc>
        <w:tc>
          <w:tcPr>
            <w:tcW w:type="dxa" w:w="1500"/>
            <w:tcMar>
              <w:top w:type="dxa" w:w="80"/>
              <w:left w:type="dxa" w:w="100"/>
              <w:bottom w:type="dxa" w:w="80"/>
              <w:right w:type="dxa" w:w="100"/>
            </w:tcMar>
            <w:vAlign w:val="center"/>
          </w:tcPr>
          <w:p>
            <w:pPr>
              <w:spacing w:after="0"/>
            </w:pPr>
            <w:r>
              <w:rPr>
                <w:b w:val="false"/>
                <w:bCs w:val="false"/>
              </w:rPr>
              <w:t xml:space="preserve">Résolveur déterministe d'abord</w:t>
            </w:r>
          </w:p>
        </w:tc>
        <w:tc>
          <w:tcPr>
            <w:tcW w:type="dxa" w:w="3200"/>
            <w:tcMar>
              <w:top w:type="dxa" w:w="80"/>
              <w:left w:type="dxa" w:w="100"/>
              <w:bottom w:type="dxa" w:w="80"/>
              <w:right w:type="dxa" w:w="100"/>
            </w:tcMar>
            <w:vAlign w:val="center"/>
          </w:tcPr>
          <w:p>
            <w:pPr>
              <w:spacing w:after="0"/>
            </w:pPr>
            <w:r>
              <w:rPr>
                <w:b w:val="false"/>
                <w:bCs w:val="false"/>
              </w:rPr>
              <w:t xml:space="preserve">—</w:t>
            </w:r>
          </w:p>
        </w:tc>
        <w:tc>
          <w:tcPr>
            <w:tcW w:type="dxa" w:w="3300"/>
            <w:tcMar>
              <w:top w:type="dxa" w:w="80"/>
              <w:left w:type="dxa" w:w="100"/>
              <w:bottom w:type="dxa" w:w="80"/>
              <w:right w:type="dxa" w:w="100"/>
            </w:tcMar>
            <w:vAlign w:val="center"/>
          </w:tcPr>
          <w:p>
            <w:pPr>
              <w:spacing w:after="0"/>
            </w:pPr>
            <w:r>
              <w:rPr>
                <w:b w:val="false"/>
                <w:bCs w:val="false"/>
              </w:rPr>
              <w:t xml:space="preserve">Pattern-matching (13+ variantes "aller à l'accueil", etc.), 0 latence, 0 hallucination</w:t>
            </w:r>
          </w:p>
        </w:tc>
      </w:tr>
      <w:tr>
        <w:tc>
          <w:tcPr>
            <w:tcW w:type="dxa" w:w="2400"/>
            <w:shd w:fill="F7F7F9" w:val="clear"/>
            <w:tcMar>
              <w:top w:type="dxa" w:w="80"/>
              <w:left w:type="dxa" w:w="100"/>
              <w:bottom w:type="dxa" w:w="80"/>
              <w:right w:type="dxa" w:w="100"/>
            </w:tcMar>
            <w:vAlign w:val="center"/>
          </w:tcPr>
          <w:p>
            <w:pPr>
              <w:spacing w:after="0"/>
            </w:pPr>
            <w:r>
              <w:rPr>
                <w:b w:val="false"/>
                <w:bCs w:val="false"/>
              </w:rPr>
              <w:t xml:space="preserve">Assistant vocal — repli si commande non reconnue</w:t>
            </w:r>
          </w:p>
        </w:tc>
        <w:tc>
          <w:tcPr>
            <w:tcW w:type="dxa" w:w="1500"/>
            <w:shd w:fill="F7F7F9" w:val="clear"/>
            <w:tcMar>
              <w:top w:type="dxa" w:w="80"/>
              <w:left w:type="dxa" w:w="100"/>
              <w:bottom w:type="dxa" w:w="80"/>
              <w:right w:type="dxa" w:w="100"/>
            </w:tcMar>
            <w:vAlign w:val="center"/>
          </w:tcPr>
          <w:p>
            <w:pPr>
              <w:spacing w:after="0"/>
            </w:pPr>
            <w:r>
              <w:rPr>
                <w:b w:val="false"/>
                <w:bCs w:val="false"/>
              </w:rPr>
              <w:t xml:space="preserve">Oui (optionnel)</w:t>
            </w:r>
          </w:p>
        </w:tc>
        <w:tc>
          <w:tcPr>
            <w:tcW w:type="dxa" w:w="3200"/>
            <w:shd w:fill="F7F7F9" w:val="clear"/>
            <w:tcMar>
              <w:top w:type="dxa" w:w="80"/>
              <w:left w:type="dxa" w:w="100"/>
              <w:bottom w:type="dxa" w:w="80"/>
              <w:right w:type="dxa" w:w="100"/>
            </w:tcMar>
            <w:vAlign w:val="center"/>
          </w:tcPr>
          <w:p>
            <w:pPr>
              <w:spacing w:after="0"/>
            </w:pPr>
            <w:r>
              <w:rPr>
                <w:b w:val="false"/>
                <w:bCs w:val="false"/>
              </w:rPr>
              <w:t xml:space="preserve">Mistral, endpoint /api/voice/classify</w:t>
            </w:r>
          </w:p>
        </w:tc>
        <w:tc>
          <w:tcPr>
            <w:tcW w:type="dxa" w:w="3300"/>
            <w:shd w:fill="F7F7F9" w:val="clear"/>
            <w:tcMar>
              <w:top w:type="dxa" w:w="80"/>
              <w:left w:type="dxa" w:w="100"/>
              <w:bottom w:type="dxa" w:w="80"/>
              <w:right w:type="dxa" w:w="100"/>
            </w:tcMar>
            <w:vAlign w:val="center"/>
          </w:tcPr>
          <w:p>
            <w:pPr>
              <w:spacing w:after="0"/>
            </w:pPr>
            <w:r>
              <w:rPr>
                <w:b w:val="false"/>
                <w:bCs w:val="false"/>
              </w:rPr>
              <w:t xml:space="preserve">Retourne "unknown" sans jamais faire planter l'app</w:t>
            </w:r>
          </w:p>
        </w:tc>
      </w:tr>
      <w:tr>
        <w:tc>
          <w:tcPr>
            <w:tcW w:type="dxa" w:w="2400"/>
            <w:tcMar>
              <w:top w:type="dxa" w:w="80"/>
              <w:left w:type="dxa" w:w="100"/>
              <w:bottom w:type="dxa" w:w="80"/>
              <w:right w:type="dxa" w:w="100"/>
            </w:tcMar>
            <w:vAlign w:val="center"/>
          </w:tcPr>
          <w:p>
            <w:pPr>
              <w:spacing w:after="0"/>
            </w:pPr>
            <w:r>
              <w:rPr>
                <w:b w:val="false"/>
                <w:bCs w:val="false"/>
              </w:rPr>
              <w:t xml:space="preserve">Transcription vocale (STT)</w:t>
            </w:r>
          </w:p>
        </w:tc>
        <w:tc>
          <w:tcPr>
            <w:tcW w:type="dxa" w:w="1500"/>
            <w:tcMar>
              <w:top w:type="dxa" w:w="80"/>
              <w:left w:type="dxa" w:w="100"/>
              <w:bottom w:type="dxa" w:w="80"/>
              <w:right w:type="dxa" w:w="100"/>
            </w:tcMar>
            <w:vAlign w:val="center"/>
          </w:tcPr>
          <w:p>
            <w:pPr>
              <w:spacing w:after="0"/>
            </w:pPr>
            <w:r>
              <w:rPr>
                <w:b w:val="false"/>
                <w:bCs w:val="false"/>
              </w:rPr>
              <w:t xml:space="preserve">Oui</w:t>
            </w:r>
          </w:p>
        </w:tc>
        <w:tc>
          <w:tcPr>
            <w:tcW w:type="dxa" w:w="3200"/>
            <w:tcMar>
              <w:top w:type="dxa" w:w="80"/>
              <w:left w:type="dxa" w:w="100"/>
              <w:bottom w:type="dxa" w:w="80"/>
              <w:right w:type="dxa" w:w="100"/>
            </w:tcMar>
            <w:vAlign w:val="center"/>
          </w:tcPr>
          <w:p>
            <w:pPr>
              <w:spacing w:after="0"/>
            </w:pPr>
            <w:r>
              <w:rPr>
                <w:b w:val="false"/>
                <w:bCs w:val="false"/>
              </w:rPr>
              <w:t xml:space="preserve">Voxtral (voxtral-mini-latest, Mistral) ou Whisper (whisper-1, OpenAI) — vendor interchangeable</w:t>
            </w:r>
          </w:p>
        </w:tc>
        <w:tc>
          <w:tcPr>
            <w:tcW w:type="dxa" w:w="3300"/>
            <w:tcMar>
              <w:top w:type="dxa" w:w="80"/>
              <w:left w:type="dxa" w:w="100"/>
              <w:bottom w:type="dxa" w:w="80"/>
              <w:right w:type="dxa" w:w="100"/>
            </w:tcMar>
            <w:vAlign w:val="center"/>
          </w:tcPr>
          <w:p>
            <w:pPr>
              <w:spacing w:after="0"/>
            </w:pPr>
            <w:r>
              <w:rPr>
                <w:b w:val="false"/>
                <w:bCs w:val="false"/>
              </w:rPr>
              <w:t xml:space="preserve">—</w:t>
            </w:r>
          </w:p>
        </w:tc>
      </w:tr>
      <w:tr>
        <w:tc>
          <w:tcPr>
            <w:tcW w:type="dxa" w:w="2400"/>
            <w:shd w:fill="F7F7F9" w:val="clear"/>
            <w:tcMar>
              <w:top w:type="dxa" w:w="80"/>
              <w:left w:type="dxa" w:w="100"/>
              <w:bottom w:type="dxa" w:w="80"/>
              <w:right w:type="dxa" w:w="100"/>
            </w:tcMar>
            <w:vAlign w:val="center"/>
          </w:tcPr>
          <w:p>
            <w:pPr>
              <w:spacing w:after="0"/>
            </w:pPr>
            <w:r>
              <w:rPr>
                <w:b w:val="false"/>
                <w:bCs w:val="false"/>
              </w:rPr>
              <w:t xml:space="preserve">Synthèse vocale (TTS)</w:t>
            </w:r>
          </w:p>
        </w:tc>
        <w:tc>
          <w:tcPr>
            <w:tcW w:type="dxa" w:w="1500"/>
            <w:shd w:fill="F7F7F9" w:val="clear"/>
            <w:tcMar>
              <w:top w:type="dxa" w:w="80"/>
              <w:left w:type="dxa" w:w="100"/>
              <w:bottom w:type="dxa" w:w="80"/>
              <w:right w:type="dxa" w:w="100"/>
            </w:tcMar>
            <w:vAlign w:val="center"/>
          </w:tcPr>
          <w:p>
            <w:pPr>
              <w:spacing w:after="0"/>
            </w:pPr>
            <w:r>
              <w:rPr>
                <w:b w:val="false"/>
                <w:bCs w:val="false"/>
              </w:rPr>
              <w:t xml:space="preserve">Oui</w:t>
            </w:r>
          </w:p>
        </w:tc>
        <w:tc>
          <w:tcPr>
            <w:tcW w:type="dxa" w:w="3200"/>
            <w:shd w:fill="F7F7F9" w:val="clear"/>
            <w:tcMar>
              <w:top w:type="dxa" w:w="80"/>
              <w:left w:type="dxa" w:w="100"/>
              <w:bottom w:type="dxa" w:w="80"/>
              <w:right w:type="dxa" w:w="100"/>
            </w:tcMar>
            <w:vAlign w:val="center"/>
          </w:tcPr>
          <w:p>
            <w:pPr>
              <w:spacing w:after="0"/>
            </w:pPr>
            <w:r>
              <w:rPr>
                <w:b w:val="false"/>
                <w:bCs w:val="false"/>
              </w:rPr>
              <w:t xml:space="preserve">Voxtral TTS, voix fr_marie_neutral</w:t>
            </w:r>
          </w:p>
        </w:tc>
        <w:tc>
          <w:tcPr>
            <w:tcW w:type="dxa" w:w="3300"/>
            <w:shd w:fill="F7F7F9" w:val="clear"/>
            <w:tcMar>
              <w:top w:type="dxa" w:w="80"/>
              <w:left w:type="dxa" w:w="100"/>
              <w:bottom w:type="dxa" w:w="80"/>
              <w:right w:type="dxa" w:w="100"/>
            </w:tcMar>
            <w:vAlign w:val="center"/>
          </w:tcPr>
          <w:p>
            <w:pPr>
              <w:spacing w:after="0"/>
            </w:pPr>
            <w:r>
              <w:rPr>
                <w:b w:val="false"/>
                <w:bCs w:val="false"/>
              </w:rPr>
              <w:t xml:space="preserve">—</w:t>
            </w:r>
          </w:p>
        </w:tc>
      </w:tr>
      <w:tr>
        <w:tc>
          <w:tcPr>
            <w:tcW w:type="dxa" w:w="2400"/>
            <w:tcMar>
              <w:top w:type="dxa" w:w="80"/>
              <w:left w:type="dxa" w:w="100"/>
              <w:bottom w:type="dxa" w:w="80"/>
              <w:right w:type="dxa" w:w="100"/>
            </w:tcMar>
            <w:vAlign w:val="center"/>
          </w:tcPr>
          <w:p>
            <w:pPr>
              <w:spacing w:after="0"/>
            </w:pPr>
            <w:r>
              <w:rPr>
                <w:b w:val="false"/>
                <w:bCs w:val="false"/>
              </w:rPr>
              <w:t xml:space="preserve">Classification de justificatif (ex. facture d'énergie)</w:t>
            </w:r>
          </w:p>
        </w:tc>
        <w:tc>
          <w:tcPr>
            <w:tcW w:type="dxa" w:w="1500"/>
            <w:tcMar>
              <w:top w:type="dxa" w:w="80"/>
              <w:left w:type="dxa" w:w="100"/>
              <w:bottom w:type="dxa" w:w="80"/>
              <w:right w:type="dxa" w:w="100"/>
            </w:tcMar>
            <w:vAlign w:val="center"/>
          </w:tcPr>
          <w:p>
            <w:pPr>
              <w:spacing w:after="0"/>
            </w:pPr>
            <w:r>
              <w:rPr>
                <w:b w:val="false"/>
                <w:bCs w:val="false"/>
              </w:rPr>
              <w:t xml:space="preserve">Repli seulement</w:t>
            </w:r>
          </w:p>
        </w:tc>
        <w:tc>
          <w:tcPr>
            <w:tcW w:type="dxa" w:w="3200"/>
            <w:tcMar>
              <w:top w:type="dxa" w:w="80"/>
              <w:left w:type="dxa" w:w="100"/>
              <w:bottom w:type="dxa" w:w="80"/>
              <w:right w:type="dxa" w:w="100"/>
            </w:tcMar>
            <w:vAlign w:val="center"/>
          </w:tcPr>
          <w:p>
            <w:pPr>
              <w:spacing w:after="0"/>
            </w:pPr>
            <w:r>
              <w:rPr>
                <w:b w:val="false"/>
                <w:bCs w:val="false"/>
              </w:rPr>
              <w:t xml:space="preserve">mistral-small-latest</w:t>
            </w:r>
          </w:p>
        </w:tc>
        <w:tc>
          <w:tcPr>
            <w:tcW w:type="dxa" w:w="3300"/>
            <w:tcMar>
              <w:top w:type="dxa" w:w="80"/>
              <w:left w:type="dxa" w:w="100"/>
              <w:bottom w:type="dxa" w:w="80"/>
              <w:right w:type="dxa" w:w="100"/>
            </w:tcMar>
            <w:vAlign w:val="center"/>
          </w:tcPr>
          <w:p>
            <w:pPr>
              <w:spacing w:after="0"/>
            </w:pPr>
            <w:r>
              <w:rPr>
                <w:b w:val="false"/>
                <w:bCs w:val="false"/>
              </w:rPr>
              <w:t xml:space="preserve">Règles déterministes reconnaissent d'abord les cas évidents (fournisseur + facture + code postal + &lt;90 jours)</w:t>
            </w:r>
          </w:p>
        </w:tc>
      </w:tr>
      <w:tr>
        <w:tc>
          <w:tcPr>
            <w:tcW w:type="dxa" w:w="2400"/>
            <w:shd w:fill="F7F7F9" w:val="clear"/>
            <w:tcMar>
              <w:top w:type="dxa" w:w="80"/>
              <w:left w:type="dxa" w:w="100"/>
              <w:bottom w:type="dxa" w:w="80"/>
              <w:right w:type="dxa" w:w="100"/>
            </w:tcMar>
            <w:vAlign w:val="center"/>
          </w:tcPr>
          <w:p>
            <w:pPr>
              <w:spacing w:after="0"/>
            </w:pPr>
            <w:r>
              <w:rPr>
                <w:b w:val="false"/>
                <w:bCs w:val="false"/>
              </w:rPr>
              <w:t xml:space="preserve">Checklist de documents personnalisée</w:t>
            </w:r>
          </w:p>
        </w:tc>
        <w:tc>
          <w:tcPr>
            <w:tcW w:type="dxa" w:w="1500"/>
            <w:shd w:fill="F7F7F9" w:val="clear"/>
            <w:tcMar>
              <w:top w:type="dxa" w:w="80"/>
              <w:left w:type="dxa" w:w="100"/>
              <w:bottom w:type="dxa" w:w="80"/>
              <w:right w:type="dxa" w:w="100"/>
            </w:tcMar>
            <w:vAlign w:val="center"/>
          </w:tcPr>
          <w:p>
            <w:pPr>
              <w:spacing w:after="0"/>
            </w:pPr>
            <w:r>
              <w:rPr>
                <w:b w:val="false"/>
                <w:bCs w:val="false"/>
              </w:rPr>
              <w:t xml:space="preserve">Oui, en premier</w:t>
            </w:r>
          </w:p>
        </w:tc>
        <w:tc>
          <w:tcPr>
            <w:tcW w:type="dxa" w:w="3200"/>
            <w:shd w:fill="F7F7F9" w:val="clear"/>
            <w:tcMar>
              <w:top w:type="dxa" w:w="80"/>
              <w:left w:type="dxa" w:w="100"/>
              <w:bottom w:type="dxa" w:w="80"/>
              <w:right w:type="dxa" w:w="100"/>
            </w:tcMar>
            <w:vAlign w:val="center"/>
          </w:tcPr>
          <w:p>
            <w:pPr>
              <w:spacing w:after="0"/>
            </w:pPr>
            <w:r>
              <w:rPr>
                <w:b w:val="false"/>
                <w:bCs w:val="false"/>
              </w:rPr>
              <w:t xml:space="preserve">Mistral (sélection dans un catalogue encadré)</w:t>
            </w:r>
          </w:p>
        </w:tc>
        <w:tc>
          <w:tcPr>
            <w:tcW w:type="dxa" w:w="3300"/>
            <w:shd w:fill="F7F7F9" w:val="clear"/>
            <w:tcMar>
              <w:top w:type="dxa" w:w="80"/>
              <w:left w:type="dxa" w:w="100"/>
              <w:bottom w:type="dxa" w:w="80"/>
              <w:right w:type="dxa" w:w="100"/>
            </w:tcMar>
            <w:vAlign w:val="center"/>
          </w:tcPr>
          <w:p>
            <w:pPr>
              <w:spacing w:after="0"/>
            </w:pPr>
            <w:r>
              <w:rPr>
                <w:b w:val="false"/>
                <w:bCs w:val="false"/>
              </w:rPr>
              <w:t xml:space="preserve">Générateur de règles si Mistral échoue/timeout — même format de sortie, code aval agnostique</w:t>
            </w:r>
          </w:p>
        </w:tc>
      </w:tr>
      <w:tr>
        <w:tc>
          <w:tcPr>
            <w:tcW w:type="dxa" w:w="2400"/>
            <w:tcMar>
              <w:top w:type="dxa" w:w="80"/>
              <w:left w:type="dxa" w:w="100"/>
              <w:bottom w:type="dxa" w:w="80"/>
              <w:right w:type="dxa" w:w="100"/>
            </w:tcMar>
            <w:vAlign w:val="center"/>
          </w:tcPr>
          <w:p>
            <w:pPr>
              <w:spacing w:after="0"/>
            </w:pPr>
            <w:r>
              <w:rPr>
                <w:b w:val="false"/>
                <w:bCs w:val="false"/>
              </w:rPr>
              <w:t xml:space="preserve">Analyse de cohérence de dossier</w:t>
            </w:r>
          </w:p>
        </w:tc>
        <w:tc>
          <w:tcPr>
            <w:tcW w:type="dxa" w:w="1500"/>
            <w:tcMar>
              <w:top w:type="dxa" w:w="80"/>
              <w:left w:type="dxa" w:w="100"/>
              <w:bottom w:type="dxa" w:w="80"/>
              <w:right w:type="dxa" w:w="100"/>
            </w:tcMar>
            <w:vAlign w:val="center"/>
          </w:tcPr>
          <w:p>
            <w:pPr>
              <w:spacing w:after="0"/>
            </w:pPr>
            <w:r>
              <w:rPr>
                <w:b w:val="false"/>
                <w:bCs w:val="false"/>
              </w:rPr>
              <w:t xml:space="preserve">Oui</w:t>
            </w:r>
          </w:p>
        </w:tc>
        <w:tc>
          <w:tcPr>
            <w:tcW w:type="dxa" w:w="3200"/>
            <w:tcMar>
              <w:top w:type="dxa" w:w="80"/>
              <w:left w:type="dxa" w:w="100"/>
              <w:bottom w:type="dxa" w:w="80"/>
              <w:right w:type="dxa" w:w="100"/>
            </w:tcMar>
            <w:vAlign w:val="center"/>
          </w:tcPr>
          <w:p>
            <w:pPr>
              <w:spacing w:after="0"/>
            </w:pPr>
            <w:r>
              <w:rPr>
                <w:b w:val="false"/>
                <w:bCs w:val="false"/>
              </w:rPr>
              <w:t xml:space="preserve">mistral-large-latest</w:t>
            </w:r>
          </w:p>
        </w:tc>
        <w:tc>
          <w:tcPr>
            <w:tcW w:type="dxa" w:w="3300"/>
            <w:tcMar>
              <w:top w:type="dxa" w:w="80"/>
              <w:left w:type="dxa" w:w="100"/>
              <w:bottom w:type="dxa" w:w="80"/>
              <w:right w:type="dxa" w:w="100"/>
            </w:tcMar>
            <w:vAlign w:val="center"/>
          </w:tcPr>
          <w:p>
            <w:pPr>
              <w:spacing w:after="0"/>
            </w:pPr>
            <w:r>
              <w:rPr>
                <w:b w:val="false"/>
                <w:bCs w:val="false"/>
              </w:rPr>
              <w:t xml:space="preserve">—</w:t>
            </w:r>
          </w:p>
        </w:tc>
      </w:tr>
      <w:tr>
        <w:tc>
          <w:tcPr>
            <w:tcW w:type="dxa" w:w="2400"/>
            <w:shd w:fill="F7F7F9" w:val="clear"/>
            <w:tcMar>
              <w:top w:type="dxa" w:w="80"/>
              <w:left w:type="dxa" w:w="100"/>
              <w:bottom w:type="dxa" w:w="80"/>
              <w:right w:type="dxa" w:w="100"/>
            </w:tcMar>
            <w:vAlign w:val="center"/>
          </w:tcPr>
          <w:p>
            <w:pPr>
              <w:spacing w:after="0"/>
            </w:pPr>
            <w:r>
              <w:rPr>
                <w:b w:val="false"/>
                <w:bCs w:val="false"/>
              </w:rPr>
              <w:t xml:space="preserve">Analyse anti-fraude</w:t>
            </w:r>
          </w:p>
        </w:tc>
        <w:tc>
          <w:tcPr>
            <w:tcW w:type="dxa" w:w="1500"/>
            <w:shd w:fill="F7F7F9" w:val="clear"/>
            <w:tcMar>
              <w:top w:type="dxa" w:w="80"/>
              <w:left w:type="dxa" w:w="100"/>
              <w:bottom w:type="dxa" w:w="80"/>
              <w:right w:type="dxa" w:w="100"/>
            </w:tcMar>
            <w:vAlign w:val="center"/>
          </w:tcPr>
          <w:p>
            <w:pPr>
              <w:spacing w:after="0"/>
            </w:pPr>
            <w:r>
              <w:rPr>
                <w:b w:val="false"/>
                <w:bCs w:val="false"/>
              </w:rPr>
              <w:t xml:space="preserve">Oui, en complément</w:t>
            </w:r>
          </w:p>
        </w:tc>
        <w:tc>
          <w:tcPr>
            <w:tcW w:type="dxa" w:w="3200"/>
            <w:shd w:fill="F7F7F9" w:val="clear"/>
            <w:tcMar>
              <w:top w:type="dxa" w:w="80"/>
              <w:left w:type="dxa" w:w="100"/>
              <w:bottom w:type="dxa" w:w="80"/>
              <w:right w:type="dxa" w:w="100"/>
            </w:tcMar>
            <w:vAlign w:val="center"/>
          </w:tcPr>
          <w:p>
            <w:pPr>
              <w:spacing w:after="0"/>
            </w:pPr>
            <w:r>
              <w:rPr>
                <w:b w:val="false"/>
                <w:bCs w:val="false"/>
              </w:rPr>
              <w:t xml:space="preserve">mistral-large-latest</w:t>
            </w:r>
          </w:p>
        </w:tc>
        <w:tc>
          <w:tcPr>
            <w:tcW w:type="dxa" w:w="3300"/>
            <w:shd w:fill="F7F7F9" w:val="clear"/>
            <w:tcMar>
              <w:top w:type="dxa" w:w="80"/>
              <w:left w:type="dxa" w:w="100"/>
              <w:bottom w:type="dxa" w:w="80"/>
              <w:right w:type="dxa" w:w="100"/>
            </w:tcMar>
            <w:vAlign w:val="center"/>
          </w:tcPr>
          <w:p>
            <w:pPr>
              <w:spacing w:after="0"/>
            </w:pPr>
            <w:r>
              <w:rPr>
                <w:b w:val="false"/>
                <w:bCs w:val="false"/>
              </w:rPr>
              <w:t xml:space="preserve">Signaux de métadonnées de fichier (date de création, logiciel, indices de falsification PDF) toujours calculés, LLM privilégié si disponible</w:t>
            </w:r>
          </w:p>
        </w:tc>
      </w:tr>
      <w:tr>
        <w:tc>
          <w:tcPr>
            <w:tcW w:type="dxa" w:w="2400"/>
            <w:tcMar>
              <w:top w:type="dxa" w:w="80"/>
              <w:left w:type="dxa" w:w="100"/>
              <w:bottom w:type="dxa" w:w="80"/>
              <w:right w:type="dxa" w:w="100"/>
            </w:tcMar>
            <w:vAlign w:val="center"/>
          </w:tcPr>
          <w:p>
            <w:pPr>
              <w:spacing w:after="0"/>
            </w:pPr>
            <w:r>
              <w:rPr>
                <w:b w:val="false"/>
                <w:bCs w:val="false"/>
              </w:rPr>
              <w:t xml:space="preserve">Profilage citoyen adaptatif</w:t>
            </w:r>
          </w:p>
        </w:tc>
        <w:tc>
          <w:tcPr>
            <w:tcW w:type="dxa" w:w="1500"/>
            <w:tcMar>
              <w:top w:type="dxa" w:w="80"/>
              <w:left w:type="dxa" w:w="100"/>
              <w:bottom w:type="dxa" w:w="80"/>
              <w:right w:type="dxa" w:w="100"/>
            </w:tcMar>
            <w:vAlign w:val="center"/>
          </w:tcPr>
          <w:p>
            <w:pPr>
              <w:spacing w:after="0"/>
            </w:pPr>
            <w:r>
              <w:rPr>
                <w:b w:val="false"/>
                <w:bCs w:val="false"/>
              </w:rPr>
              <w:t xml:space="preserve">Oui, systématique</w:t>
            </w:r>
          </w:p>
        </w:tc>
        <w:tc>
          <w:tcPr>
            <w:tcW w:type="dxa" w:w="3200"/>
            <w:tcMar>
              <w:top w:type="dxa" w:w="80"/>
              <w:left w:type="dxa" w:w="100"/>
              <w:bottom w:type="dxa" w:w="80"/>
              <w:right w:type="dxa" w:w="100"/>
            </w:tcMar>
            <w:vAlign w:val="center"/>
          </w:tcPr>
          <w:p>
            <w:pPr>
              <w:spacing w:after="0"/>
            </w:pPr>
            <w:r>
              <w:rPr>
                <w:b w:val="false"/>
                <w:bCs w:val="false"/>
              </w:rPr>
              <w:t xml:space="preserve">mistral-medium-latest</w:t>
            </w:r>
          </w:p>
        </w:tc>
        <w:tc>
          <w:tcPr>
            <w:tcW w:type="dxa" w:w="3300"/>
            <w:tcMar>
              <w:top w:type="dxa" w:w="80"/>
              <w:left w:type="dxa" w:w="100"/>
              <w:bottom w:type="dxa" w:w="80"/>
              <w:right w:type="dxa" w:w="100"/>
            </w:tcMar>
            <w:vAlign w:val="center"/>
          </w:tcPr>
          <w:p>
            <w:pPr>
              <w:spacing w:after="0"/>
            </w:pPr>
            <w:r>
              <w:rPr>
                <w:b w:val="false"/>
                <w:bCs w:val="false"/>
              </w:rPr>
              <w:t xml:space="preserve">Aucun — volontairement (voir citation ci-dessous)</w:t>
            </w:r>
          </w:p>
        </w:tc>
      </w:tr>
    </w:tbl>
    <w:p>
      <w:pPr>
        <w:pBdr>
          <w:left w:val="single" w:color="003593" w:sz="18" w:space="12"/>
        </w:pBdr>
        <w:shd w:fill="F0F4FF" w:val="clear"/>
        <w:spacing w:after="200" w:before="80"/>
        <w:ind w:left="480"/>
      </w:pPr>
      <w:r>
        <w:rPr>
          <w:i/>
          <w:iCs/>
          <w:color w:val="5B5F6B"/>
        </w:rPr>
        <w:t xml:space="preserve">« every profiling turn must call Mistral, and a missing key surfaces as an error rather than a silent rule-based answer »</w:t>
      </w:r>
    </w:p>
    <w:p>
      <w:pPr>
        <w:spacing w:after="160"/>
      </w:pPr>
      <w:r>
        <w:rPr>
          <w:b/>
          <w:bCs/>
        </w:rPr>
        <w:t xml:space="preserve">Pourquoi cette dualité ?</w:t>
      </w:r>
      <w:r>
        <w:t xml:space="preserve"> Trois raisons données explicitement dans le code :</w:t>
      </w:r>
    </w:p>
    <w:p>
      <w:pPr>
        <w:pStyle w:val="ListParagraph"/>
        <w:numPr>
          <w:ilvl w:val="0"/>
          <w:numId w:val="2"/>
        </w:numPr>
        <w:spacing w:after="100"/>
      </w:pPr>
      <w:r>
        <w:rPr>
          <w:b/>
          <w:bCs/>
        </w:rPr>
        <w:t xml:space="preserve">Vérifiabilité</w:t>
      </w:r>
      <w:r>
        <w:t xml:space="preserve"> : un montant d'aide doit être re-dérivable à la main par un citoyen ou un agent — un LLM, aussi bon soit-il, reste une estimation statistique.</w:t>
      </w:r>
    </w:p>
    <w:p>
      <w:pPr>
        <w:pStyle w:val="ListParagraph"/>
        <w:numPr>
          <w:ilvl w:val="0"/>
          <w:numId w:val="2"/>
        </w:numPr>
        <w:spacing w:after="100"/>
      </w:pPr>
      <w:r>
        <w:rPr>
          <w:b/>
          <w:bCs/>
        </w:rPr>
        <w:t xml:space="preserve">Résilience</w:t>
      </w:r>
      <w:r>
        <w:t xml:space="preserve"> : une clé API absente, un modèle indisponible ou un timeout ne doivent jamais provoquer une erreur 500 ni une réponse inventée — le système dégrade proprement vers une règle.</w:t>
      </w:r>
    </w:p>
    <w:p>
      <w:pPr>
        <w:pStyle w:val="ListParagraph"/>
        <w:numPr>
          <w:ilvl w:val="0"/>
          <w:numId w:val="2"/>
        </w:numPr>
        <w:spacing w:after="100"/>
      </w:pPr>
      <w:r>
        <w:rPr>
          <w:b/>
          <w:bCs/>
        </w:rPr>
        <w:t xml:space="preserve">Coût/latence adaptés à l'enjeu</w:t>
      </w:r>
      <w:r>
        <w:t xml:space="preserve"> : le modèle le plus puissant (</w:t>
      </w:r>
      <w:r>
        <w:rPr>
          <w:rFonts w:ascii="Consolas" w:cs="Consolas" w:eastAsia="Consolas" w:hAnsi="Consolas"/>
          <w:color w:val="003593"/>
          <w:shd w:fill="EDEEF3" w:val="clear"/>
        </w:rPr>
        <w:t xml:space="preserve">mistral-large-latest</w:t>
      </w:r>
      <w:r>
        <w:t xml:space="preserve">) n'est mobilisé que là où le raisonnement est réellement complexe (fraude, cohérence) ; les tâches de classification utilisent un modèle plus léger (</w:t>
      </w:r>
      <w:r>
        <w:rPr>
          <w:rFonts w:ascii="Consolas" w:cs="Consolas" w:eastAsia="Consolas" w:hAnsi="Consolas"/>
          <w:color w:val="003593"/>
          <w:shd w:fill="EDEEF3" w:val="clear"/>
        </w:rPr>
        <w:t xml:space="preserve">mistral-small-latest</w:t>
      </w:r>
      <w:r>
        <w:t xml:space="preserve">).</w:t>
      </w:r>
    </w:p>
    <w:p>
      <w:pPr>
        <w:pStyle w:val="Heading2"/>
        <w:spacing w:after="140" w:before="280"/>
      </w:pPr>
      <w:r>
        <w:t xml:space="preserve">4.2 Assistant conversationnel (RAG) — le cœur produit</w:t>
      </w:r>
    </w:p>
    <w:p>
      <w:pPr>
        <w:pStyle w:val="Heading3"/>
        <w:spacing w:after="100" w:before="220"/>
      </w:pPr>
      <w:r>
        <w:t xml:space="preserve">Recherche hybride BM25 + vecteurs</w:t>
      </w:r>
    </w:p>
    <w:p>
      <w:pPr>
        <w:spacing w:after="160"/>
      </w:pPr>
      <w:r>
        <w:t xml:space="preserve">Deux index tournent en parallèle :</w:t>
      </w:r>
    </w:p>
    <w:p>
      <w:pPr>
        <w:pStyle w:val="ListParagraph"/>
        <w:numPr>
          <w:ilvl w:val="0"/>
          <w:numId w:val="3"/>
        </w:numPr>
        <w:spacing w:after="100"/>
      </w:pPr>
      <w:r>
        <w:rPr>
          <w:b/>
          <w:bCs/>
        </w:rPr>
        <w:t xml:space="preserve">BM25</w:t>
      </w:r>
      <w:r>
        <w:t xml:space="preserve"> (lexical, </w:t>
      </w:r>
      <w:r>
        <w:rPr>
          <w:rFonts w:ascii="Consolas" w:cs="Consolas" w:eastAsia="Consolas" w:hAnsi="Consolas"/>
          <w:color w:val="003593"/>
          <w:shd w:fill="EDEEF3" w:val="clear"/>
        </w:rPr>
        <w:t xml:space="preserve">rank-bm25</w:t>
      </w:r>
      <w:r>
        <w:t xml:space="preserve">) : toujours disponible, aucune dépendance réseau, tokenizer conscient du français.</w:t>
      </w:r>
    </w:p>
    <w:p>
      <w:pPr>
        <w:pStyle w:val="ListParagraph"/>
        <w:numPr>
          <w:ilvl w:val="0"/>
          <w:numId w:val="3"/>
        </w:numPr>
        <w:spacing w:after="100"/>
      </w:pPr>
      <w:r>
        <w:rPr>
          <w:b/>
          <w:bCs/>
        </w:rPr>
        <w:t xml:space="preserve">Recherche sémantique</w:t>
      </w:r>
      <w:r>
        <w:t xml:space="preserve"> : Qdrant (base vectorielle embarquée) + </w:t>
      </w:r>
      <w:r>
        <w:rPr>
          <w:rFonts w:ascii="Consolas" w:cs="Consolas" w:eastAsia="Consolas" w:hAnsi="Consolas"/>
          <w:color w:val="003593"/>
          <w:shd w:fill="EDEEF3" w:val="clear"/>
        </w:rPr>
        <w:t xml:space="preserve">sentence-transformers</w:t>
      </w:r>
      <w:r>
        <w:t xml:space="preserve"> avec le modèle </w:t>
      </w:r>
      <w:r>
        <w:rPr>
          <w:b/>
          <w:bCs/>
        </w:rPr>
        <w:t xml:space="preserve">`paraphrase-multilingual-MiniLM-L12-v2`</w:t>
      </w:r>
      <w:r>
        <w:t xml:space="preserve"> (léger, multilingue, ~440 Mo, mis en cache après le premier chargement).</w:t>
      </w:r>
    </w:p>
    <w:p>
      <w:pPr>
        <w:pStyle w:val="ListParagraph"/>
        <w:numPr>
          <w:ilvl w:val="0"/>
          <w:numId w:val="3"/>
        </w:numPr>
        <w:spacing w:after="100"/>
      </w:pPr>
      <w:r>
        <w:rPr>
          <w:b/>
          <w:bCs/>
        </w:rPr>
        <w:t xml:space="preserve">Fusion</w:t>
      </w:r>
      <w:r>
        <w:t xml:space="preserve"> : Reciprocal Rank Fusion (RRF, k=60) — évite de combiner des échelles de score incompatibles (BM25 non borné vs cosinus [-1,1]).</w:t>
      </w:r>
    </w:p>
    <w:p>
      <w:pPr>
        <w:pStyle w:val="Heading3"/>
        <w:spacing w:after="100" w:before="220"/>
      </w:pPr>
      <w:r>
        <w:t xml:space="preserve">Résilience explicite</w:t>
      </w:r>
    </w:p>
    <w:p>
      <w:pPr>
        <w:spacing w:after="160"/>
      </w:pPr>
      <w:r>
        <w:t xml:space="preserve">La construction de l'index sémantique tourne dans un thread borné (timeout 25s) ; en cas d'échec, le RAG se dégrade automatiquement en BM25 seul — jamais d'indisponibilité totale de l'assistant.</w:t>
      </w:r>
    </w:p>
    <w:p>
      <w:pPr>
        <w:pStyle w:val="Heading3"/>
        <w:spacing w:after="100" w:before="220"/>
      </w:pPr>
      <w:r>
        <w:t xml:space="preserve">Anti-hallucination</w:t>
      </w:r>
    </w:p>
    <w:p>
      <w:pPr>
        <w:spacing w:after="160"/>
      </w:pPr>
      <w:r>
        <w:t xml:space="preserve">Le prompt système de génération interdit explicitement d'inventer une réponse ; toute réponse doit être ancrée dans les extraits fournis.</w:t>
      </w:r>
    </w:p>
    <w:p>
      <w:pPr>
        <w:pStyle w:val="Heading3"/>
        <w:spacing w:after="100" w:before="220"/>
      </w:pPr>
      <w:r>
        <w:t xml:space="preserve">Filtrage par rôle</w:t>
      </w:r>
    </w:p>
    <w:p>
      <w:pPr>
        <w:spacing w:after="160"/>
      </w:pPr>
      <w:r>
        <w:t xml:space="preserve">Les citoyens ne voient que le corpus « démarche » ; les agents voient en plus le corpus « législation » — le contenu juridique complexe reste réservé aux professionnels.</w:t>
      </w:r>
    </w:p>
    <w:p>
      <w:pPr>
        <w:pStyle w:val="Heading3"/>
        <w:spacing w:after="100" w:before="220"/>
      </w:pPr>
      <w:r>
        <w:t xml:space="preserve">Conversation sans session</w:t>
      </w:r>
    </w:p>
    <w:p>
      <w:pPr>
        <w:spacing w:after="160"/>
      </w:pPr>
      <w:r>
        <w:t xml:space="preserve">Le moteur ne garde aucun état interne ; l'historique transite dans la requête (persisté seulement pour les citoyens authentifiés, pour que leur fil survive à une navigation). Cette conception "aveugle à l'authentification" est ce qui a permis, sans aucune modification serveur, de brancher le même moteur sur la page d'accueil publique — et demain sur un canal WhatsApp sans compte.</w:t>
      </w:r>
    </w:p>
    <w:p>
      <w:pPr>
        <w:pStyle w:val="Heading2"/>
        <w:spacing w:after="140" w:before="280"/>
      </w:pPr>
      <w:r>
        <w:t xml:space="preserve">4.3 Assistant vocal — deux couches d'intention</w:t>
      </w:r>
    </w:p>
    <w:p>
      <w:pPr>
        <w:pStyle w:val="ListParagraph"/>
        <w:numPr>
          <w:ilvl w:val="0"/>
          <w:numId w:val="2"/>
        </w:numPr>
        <w:spacing w:after="100"/>
      </w:pPr>
      <w:r>
        <w:rPr>
          <w:b/>
          <w:bCs/>
        </w:rPr>
        <w:t xml:space="preserve">Résolveur déterministe (`DeterministicVoiceIntentResolver`)</w:t>
      </w:r>
      <w:r>
        <w:t xml:space="preserve"> : reconnaît par pattern-matching plus de 50 formulations réparties en intentions (aller à l'accueil, ouvrir mes documents, lire la page, arrêter de parler, confirmer/annuler, remplir un champ). Aucun appel réseau, latence nulle, zéro risque d'hallucination pour des actions de navigation ou de saisie.</w:t>
      </w:r>
    </w:p>
    <w:p>
      <w:pPr>
        <w:pStyle w:val="ListParagraph"/>
        <w:numPr>
          <w:ilvl w:val="0"/>
          <w:numId w:val="2"/>
        </w:numPr>
        <w:spacing w:after="100"/>
      </w:pPr>
      <w:r>
        <w:rPr>
          <w:b/>
          <w:bCs/>
        </w:rPr>
        <w:t xml:space="preserve">Repli LLM (`/api/voice/classify`, Mistral)</w:t>
      </w:r>
      <w:r>
        <w:t xml:space="preserve"> : uniquement si le résolveur déterministe ne reconnaît rien. Ne fait jamais planter l'application — retourne "unknown" en cas d'échec.</w:t>
      </w:r>
    </w:p>
    <w:p>
      <w:pPr>
        <w:pStyle w:val="Heading3"/>
        <w:spacing w:after="100" w:before="220"/>
      </w:pPr>
      <w:r>
        <w:t xml:space="preserve">Vendor STT/TTS interchangeable</w:t>
      </w:r>
    </w:p>
    <w:p>
      <w:pPr>
        <w:spacing w:after="160"/>
      </w:pPr>
      <w:r>
        <w:t xml:space="preserve">Un seul paramètre (</w:t>
      </w:r>
      <w:r>
        <w:rPr>
          <w:rFonts w:ascii="Consolas" w:cs="Consolas" w:eastAsia="Consolas" w:hAnsi="Consolas"/>
          <w:color w:val="003593"/>
          <w:shd w:fill="EDEEF3" w:val="clear"/>
        </w:rPr>
        <w:t xml:space="preserve">VOICE_VENDOR</w:t>
      </w:r>
      <w:r>
        <w:t xml:space="preserve">) bascule entre Mistral (Voxtral, optimisé français) et OpenAI (Whisper) — sans changement de code, seulement de configuration.</w:t>
      </w:r>
    </w:p>
    <w:p>
      <w:pPr>
        <w:pStyle w:val="Heading2"/>
        <w:spacing w:after="140" w:before="280"/>
      </w:pPr>
      <w:r>
        <w:t xml:space="preserve">4.4 Modèles Mistral dédiés par tâche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600"/>
      </w:tblGrid>
      <w:tr>
        <w:trPr>
          <w:tblHeader/>
        </w:trPr>
        <w:tc>
          <w:tcPr>
            <w:tcW w:type="dxa" w:w="3200"/>
            <w:shd w:fill="000929" w:val="clear"/>
            <w:tcMar>
              <w:top w:type="dxa" w:w="80"/>
              <w:left w:type="dxa" w:w="100"/>
              <w:bottom w:type="dxa" w:w="80"/>
              <w:right w:type="dxa" w:w="100"/>
            </w:tcMar>
            <w:vAlign w:val="center"/>
          </w:tcPr>
          <w:p>
            <w:pPr>
              <w:spacing w:after="0"/>
            </w:pPr>
            <w:r>
              <w:rPr>
                <w:b/>
                <w:bCs/>
                <w:color w:val="FFFFFF"/>
              </w:rPr>
              <w:t xml:space="preserve">Tâche</w:t>
            </w:r>
          </w:p>
        </w:tc>
        <w:tc>
          <w:tcPr>
            <w:tcW w:type="dxa" w:w="2600"/>
            <w:shd w:fill="000929" w:val="clear"/>
            <w:tcMar>
              <w:top w:type="dxa" w:w="80"/>
              <w:left w:type="dxa" w:w="100"/>
              <w:bottom w:type="dxa" w:w="80"/>
              <w:right w:type="dxa" w:w="100"/>
            </w:tcMar>
            <w:vAlign w:val="center"/>
          </w:tcPr>
          <w:p>
            <w:pPr>
              <w:spacing w:after="0"/>
            </w:pPr>
            <w:r>
              <w:rPr>
                <w:b/>
                <w:bCs/>
                <w:color w:val="FFFFFF"/>
              </w:rPr>
              <w:t xml:space="preserve">Modèle</w:t>
            </w:r>
          </w:p>
        </w:tc>
        <w:tc>
          <w:tcPr>
            <w:tcW w:type="dxa" w:w="4600"/>
            <w:shd w:fill="000929" w:val="clear"/>
            <w:tcMar>
              <w:top w:type="dxa" w:w="80"/>
              <w:left w:type="dxa" w:w="100"/>
              <w:bottom w:type="dxa" w:w="80"/>
              <w:right w:type="dxa" w:w="100"/>
            </w:tcMar>
            <w:vAlign w:val="center"/>
          </w:tcPr>
          <w:p>
            <w:pPr>
              <w:spacing w:after="0"/>
            </w:pPr>
            <w:r>
              <w:rPr>
                <w:b/>
                <w:bCs/>
                <w:color w:val="FFFFFF"/>
              </w:rPr>
              <w:t xml:space="preserve">Justification</w:t>
            </w:r>
          </w:p>
        </w:tc>
      </w:tr>
      <w:tr>
        <w:tc>
          <w:tcPr>
            <w:tcW w:type="dxa" w:w="3200"/>
            <w:tcMar>
              <w:top w:type="dxa" w:w="80"/>
              <w:left w:type="dxa" w:w="100"/>
              <w:bottom w:type="dxa" w:w="80"/>
              <w:right w:type="dxa" w:w="100"/>
            </w:tcMar>
            <w:vAlign w:val="center"/>
          </w:tcPr>
          <w:p>
            <w:pPr>
              <w:spacing w:after="0"/>
            </w:pPr>
            <w:r>
              <w:rPr>
                <w:b w:val="false"/>
                <w:bCs w:val="false"/>
              </w:rPr>
              <w:t xml:space="preserve">Assistant général / routage d'intention</w:t>
            </w:r>
          </w:p>
        </w:tc>
        <w:tc>
          <w:tcPr>
            <w:tcW w:type="dxa" w:w="2600"/>
            <w:tcMar>
              <w:top w:type="dxa" w:w="80"/>
              <w:left w:type="dxa" w:w="100"/>
              <w:bottom w:type="dxa" w:w="80"/>
              <w:right w:type="dxa" w:w="100"/>
            </w:tcMar>
            <w:vAlign w:val="center"/>
          </w:tcPr>
          <w:p>
            <w:pPr>
              <w:spacing w:after="0"/>
            </w:pPr>
            <w:r>
              <w:rPr>
                <w:b w:val="false"/>
                <w:bCs w:val="false"/>
              </w:rPr>
              <w:t xml:space="preserve">mistral-medium-latest / mistral-small-latest</w:t>
            </w:r>
          </w:p>
        </w:tc>
        <w:tc>
          <w:tcPr>
            <w:tcW w:type="dxa" w:w="4600"/>
            <w:tcMar>
              <w:top w:type="dxa" w:w="80"/>
              <w:left w:type="dxa" w:w="100"/>
              <w:bottom w:type="dxa" w:w="80"/>
              <w:right w:type="dxa" w:w="100"/>
            </w:tcMar>
            <w:vAlign w:val="center"/>
          </w:tcPr>
          <w:p>
            <w:pPr>
              <w:spacing w:after="0"/>
            </w:pPr>
            <w:r>
              <w:rPr>
                <w:b w:val="false"/>
                <w:bCs w:val="false"/>
              </w:rPr>
              <w:t xml:space="preserve">Équilibre coût/qualité pour un usage à fort volume</w:t>
            </w:r>
          </w:p>
        </w:tc>
      </w:tr>
      <w:tr>
        <w:tc>
          <w:tcPr>
            <w:tcW w:type="dxa" w:w="3200"/>
            <w:shd w:fill="F7F7F9" w:val="clear"/>
            <w:tcMar>
              <w:top w:type="dxa" w:w="80"/>
              <w:left w:type="dxa" w:w="100"/>
              <w:bottom w:type="dxa" w:w="80"/>
              <w:right w:type="dxa" w:w="100"/>
            </w:tcMar>
            <w:vAlign w:val="center"/>
          </w:tcPr>
          <w:p>
            <w:pPr>
              <w:spacing w:after="0"/>
            </w:pPr>
            <w:r>
              <w:rPr>
                <w:b w:val="false"/>
                <w:bCs w:val="false"/>
              </w:rPr>
              <w:t xml:space="preserve">Classification de documents</w:t>
            </w:r>
          </w:p>
        </w:tc>
        <w:tc>
          <w:tcPr>
            <w:tcW w:type="dxa" w:w="2600"/>
            <w:shd w:fill="F7F7F9" w:val="clear"/>
            <w:tcMar>
              <w:top w:type="dxa" w:w="80"/>
              <w:left w:type="dxa" w:w="100"/>
              <w:bottom w:type="dxa" w:w="80"/>
              <w:right w:type="dxa" w:w="100"/>
            </w:tcMar>
            <w:vAlign w:val="center"/>
          </w:tcPr>
          <w:p>
            <w:pPr>
              <w:spacing w:after="0"/>
            </w:pPr>
            <w:r>
              <w:rPr>
                <w:b w:val="false"/>
                <w:bCs w:val="false"/>
              </w:rPr>
              <w:t xml:space="preserve">mistral-small-latest</w:t>
            </w:r>
          </w:p>
        </w:tc>
        <w:tc>
          <w:tcPr>
            <w:tcW w:type="dxa" w:w="4600"/>
            <w:shd w:fill="F7F7F9" w:val="clear"/>
            <w:tcMar>
              <w:top w:type="dxa" w:w="80"/>
              <w:left w:type="dxa" w:w="100"/>
              <w:bottom w:type="dxa" w:w="80"/>
              <w:right w:type="dxa" w:w="100"/>
            </w:tcMar>
            <w:vAlign w:val="center"/>
          </w:tcPr>
          <w:p>
            <w:pPr>
              <w:spacing w:after="0"/>
            </w:pPr>
            <w:r>
              <w:rPr>
                <w:b w:val="false"/>
                <w:bCs w:val="false"/>
              </w:rPr>
              <w:t xml:space="preserve">Tâche simple, coût minimal</w:t>
            </w:r>
          </w:p>
        </w:tc>
      </w:tr>
      <w:tr>
        <w:tc>
          <w:tcPr>
            <w:tcW w:type="dxa" w:w="3200"/>
            <w:tcMar>
              <w:top w:type="dxa" w:w="80"/>
              <w:left w:type="dxa" w:w="100"/>
              <w:bottom w:type="dxa" w:w="80"/>
              <w:right w:type="dxa" w:w="100"/>
            </w:tcMar>
            <w:vAlign w:val="center"/>
          </w:tcPr>
          <w:p>
            <w:pPr>
              <w:spacing w:after="0"/>
            </w:pPr>
            <w:r>
              <w:rPr>
                <w:b w:val="false"/>
                <w:bCs w:val="false"/>
              </w:rPr>
              <w:t xml:space="preserve">OCR de documents scannés</w:t>
            </w:r>
          </w:p>
        </w:tc>
        <w:tc>
          <w:tcPr>
            <w:tcW w:type="dxa" w:w="2600"/>
            <w:tcMar>
              <w:top w:type="dxa" w:w="80"/>
              <w:left w:type="dxa" w:w="100"/>
              <w:bottom w:type="dxa" w:w="80"/>
              <w:right w:type="dxa" w:w="100"/>
            </w:tcMar>
            <w:vAlign w:val="center"/>
          </w:tcPr>
          <w:p>
            <w:pPr>
              <w:spacing w:after="0"/>
            </w:pPr>
            <w:r>
              <w:rPr>
                <w:b w:val="false"/>
                <w:bCs w:val="false"/>
              </w:rPr>
              <w:t xml:space="preserve">mistral-ocr-latest</w:t>
            </w:r>
          </w:p>
        </w:tc>
        <w:tc>
          <w:tcPr>
            <w:tcW w:type="dxa" w:w="4600"/>
            <w:tcMar>
              <w:top w:type="dxa" w:w="80"/>
              <w:left w:type="dxa" w:w="100"/>
              <w:bottom w:type="dxa" w:w="80"/>
              <w:right w:type="dxa" w:w="100"/>
            </w:tcMar>
            <w:vAlign w:val="center"/>
          </w:tcPr>
          <w:p>
            <w:pPr>
              <w:spacing w:after="0"/>
            </w:pPr>
            <w:r>
              <w:rPr>
                <w:b w:val="false"/>
                <w:bCs w:val="false"/>
              </w:rPr>
              <w:t xml:space="preserve">Modèle spécialisé</w:t>
            </w:r>
          </w:p>
        </w:tc>
      </w:tr>
      <w:tr>
        <w:tc>
          <w:tcPr>
            <w:tcW w:type="dxa" w:w="3200"/>
            <w:shd w:fill="F7F7F9" w:val="clear"/>
            <w:tcMar>
              <w:top w:type="dxa" w:w="80"/>
              <w:left w:type="dxa" w:w="100"/>
              <w:bottom w:type="dxa" w:w="80"/>
              <w:right w:type="dxa" w:w="100"/>
            </w:tcMar>
            <w:vAlign w:val="center"/>
          </w:tcPr>
          <w:p>
            <w:pPr>
              <w:spacing w:after="0"/>
            </w:pPr>
            <w:r>
              <w:rPr>
                <w:b w:val="false"/>
                <w:bCs w:val="false"/>
              </w:rPr>
              <w:t xml:space="preserve">Analyse de cohérence / anti-fraude</w:t>
            </w:r>
          </w:p>
        </w:tc>
        <w:tc>
          <w:tcPr>
            <w:tcW w:type="dxa" w:w="2600"/>
            <w:shd w:fill="F7F7F9" w:val="clear"/>
            <w:tcMar>
              <w:top w:type="dxa" w:w="80"/>
              <w:left w:type="dxa" w:w="100"/>
              <w:bottom w:type="dxa" w:w="80"/>
              <w:right w:type="dxa" w:w="100"/>
            </w:tcMar>
            <w:vAlign w:val="center"/>
          </w:tcPr>
          <w:p>
            <w:pPr>
              <w:spacing w:after="0"/>
            </w:pPr>
            <w:r>
              <w:rPr>
                <w:b w:val="false"/>
                <w:bCs w:val="false"/>
              </w:rPr>
              <w:t xml:space="preserve">mistral-large-latest</w:t>
            </w:r>
          </w:p>
        </w:tc>
        <w:tc>
          <w:tcPr>
            <w:tcW w:type="dxa" w:w="4600"/>
            <w:shd w:fill="F7F7F9" w:val="clear"/>
            <w:tcMar>
              <w:top w:type="dxa" w:w="80"/>
              <w:left w:type="dxa" w:w="100"/>
              <w:bottom w:type="dxa" w:w="80"/>
              <w:right w:type="dxa" w:w="100"/>
            </w:tcMar>
            <w:vAlign w:val="center"/>
          </w:tcPr>
          <w:p>
            <w:pPr>
              <w:spacing w:after="0"/>
            </w:pPr>
            <w:r>
              <w:rPr>
                <w:b w:val="false"/>
                <w:bCs w:val="false"/>
              </w:rPr>
              <w:t xml:space="preserve">Raisonnement complexe, enjeu élevé — le modèle le plus capable est réservé à ces cas</w:t>
            </w:r>
          </w:p>
        </w:tc>
      </w:tr>
      <w:tr>
        <w:tc>
          <w:tcPr>
            <w:tcW w:type="dxa" w:w="3200"/>
            <w:tcMar>
              <w:top w:type="dxa" w:w="80"/>
              <w:left w:type="dxa" w:w="100"/>
              <w:bottom w:type="dxa" w:w="80"/>
              <w:right w:type="dxa" w:w="100"/>
            </w:tcMar>
            <w:vAlign w:val="center"/>
          </w:tcPr>
          <w:p>
            <w:pPr>
              <w:spacing w:after="0"/>
            </w:pPr>
            <w:r>
              <w:rPr>
                <w:b w:val="false"/>
                <w:bCs w:val="false"/>
              </w:rPr>
              <w:t xml:space="preserve">Profilage adaptatif</w:t>
            </w:r>
          </w:p>
        </w:tc>
        <w:tc>
          <w:tcPr>
            <w:tcW w:type="dxa" w:w="2600"/>
            <w:tcMar>
              <w:top w:type="dxa" w:w="80"/>
              <w:left w:type="dxa" w:w="100"/>
              <w:bottom w:type="dxa" w:w="80"/>
              <w:right w:type="dxa" w:w="100"/>
            </w:tcMar>
            <w:vAlign w:val="center"/>
          </w:tcPr>
          <w:p>
            <w:pPr>
              <w:spacing w:after="0"/>
            </w:pPr>
            <w:r>
              <w:rPr>
                <w:b w:val="false"/>
                <w:bCs w:val="false"/>
              </w:rPr>
              <w:t xml:space="preserve">mistral-medium-latest</w:t>
            </w:r>
          </w:p>
        </w:tc>
        <w:tc>
          <w:tcPr>
            <w:tcW w:type="dxa" w:w="4600"/>
            <w:tcMar>
              <w:top w:type="dxa" w:w="80"/>
              <w:left w:type="dxa" w:w="100"/>
              <w:bottom w:type="dxa" w:w="80"/>
              <w:right w:type="dxa" w:w="100"/>
            </w:tcMar>
            <w:vAlign w:val="center"/>
          </w:tcPr>
          <w:p>
            <w:pPr>
              <w:spacing w:after="0"/>
            </w:pPr>
            <w:r>
              <w:rPr>
                <w:b w:val="false"/>
                <w:bCs w:val="false"/>
              </w:rPr>
              <w:t xml:space="preserve">Dialogue multi-tours avec contexte complet du profil</w:t>
            </w:r>
          </w:p>
        </w:tc>
      </w:tr>
    </w:tbl>
    <w:p>
      <w:pPr>
        <w:pStyle w:val="Heading1"/>
        <w:spacing w:after="180" w:before="360"/>
      </w:pPr>
      <w:r>
        <w:t xml:space="preserve">5. Tests &amp; qualité</w:t>
      </w:r>
    </w:p>
    <w:p>
      <w:pPr>
        <w:spacing w:after="160"/>
      </w:pPr>
      <w:r>
        <w:t xml:space="preserve">Backend testé via </w:t>
      </w:r>
      <w:r>
        <w:rPr>
          <w:b/>
          <w:bCs/>
        </w:rPr>
        <w:t xml:space="preserve">pytest</w:t>
      </w:r>
      <w:r>
        <w:t xml:space="preserve"> (fonctions de sécurité, règles métier d'estimation, audit immuable, profilage, cohérence, fraude — sans base de données pour les tests unitaires ; le flux complet est vérifié en direct contre l'API). Frontend : Vitest + Testing Library + </w:t>
      </w:r>
      <w:r>
        <w:rPr>
          <w:rFonts w:ascii="Consolas" w:cs="Consolas" w:eastAsia="Consolas" w:hAnsi="Consolas"/>
          <w:color w:val="003593"/>
          <w:shd w:fill="EDEEF3" w:val="clear"/>
        </w:rPr>
        <w:t xml:space="preserve">jest-axe</w:t>
      </w:r>
      <w:r>
        <w:t xml:space="preserve"> (vérification RGAA) prévus en fondation.</w:t>
      </w:r>
    </w:p>
    <w:p>
      <w:pPr>
        <w:pStyle w:val="Heading1"/>
        <w:spacing w:after="180" w:before="360"/>
      </w:pPr>
      <w:r>
        <w:t xml:space="preserve">6. Stockage &amp; documents</w:t>
      </w:r>
    </w:p>
    <w:p>
      <w:pPr>
        <w:spacing w:after="160"/>
      </w:pPr>
      <w:r>
        <w:t xml:space="preserve">Seules les métadonnées vivent en PostgreSQL — jamais les octets du fichier. Le répertoire d'upload est local en développement, remplaçable par du stockage objet en production derrière la même interface. Traitement des PDF via </w:t>
      </w:r>
      <w:r>
        <w:rPr>
          <w:rFonts w:ascii="Consolas" w:cs="Consolas" w:eastAsia="Consolas" w:hAnsi="Consolas"/>
          <w:color w:val="003593"/>
          <w:shd w:fill="EDEEF3" w:val="clear"/>
        </w:rPr>
        <w:t xml:space="preserve">pypdf</w:t>
      </w:r>
      <w:r>
        <w:t xml:space="preserve">/</w:t>
      </w:r>
      <w:r>
        <w:rPr>
          <w:rFonts w:ascii="Consolas" w:cs="Consolas" w:eastAsia="Consolas" w:hAnsi="Consolas"/>
          <w:color w:val="003593"/>
          <w:shd w:fill="EDEEF3" w:val="clear"/>
        </w:rPr>
        <w:t xml:space="preserve">pdfplumber</w:t>
      </w:r>
      <w:r>
        <w:t xml:space="preserve">, OCR Mistral pour les documents scannés.</w:t>
      </w:r>
    </w:p>
    <w:p>
      <w:pPr>
        <w:pStyle w:val="Heading1"/>
        <w:spacing w:after="180" w:before="360"/>
      </w:pPr>
      <w:r>
        <w:t xml:space="preserve">7. Message clé pour le pitch</w:t>
      </w:r>
    </w:p>
    <w:p>
      <w:pPr>
        <w:pBdr>
          <w:top w:val="single" w:color="F0F4FF" w:sz="4" w:space="8"/>
          <w:bottom w:val="single" w:color="F0F4FF" w:sz="4" w:space="8"/>
          <w:left w:val="single" w:color="003593" w:sz="24" w:space="12"/>
          <w:right w:val="single" w:color="F0F4FF" w:sz="4" w:space="8"/>
        </w:pBdr>
        <w:shd w:fill="F0F4FF" w:val="clear"/>
        <w:spacing w:after="200" w:before="200"/>
      </w:pPr>
      <w:r>
        <w:rPr>
          <w:b/>
          <w:bCs/>
        </w:rPr>
        <w:t xml:space="preserve">MonParcours ne vend pas "un chatbot" : il déploie l'IA générative précisément là où le langage naturel est irremplaçable (comprendre une question, dialoguer, classifier un texte ambigu, raisonner sur un cas suspect) et s'appuie sur des formules et des règles vérifiables partout où une décision doit être reproductible et auditable. Chaque brique IA a un chemin de repli déterministe — la plateforme ne renvoie jamais une erreur 500 ni une réponse inventée quand un fournisseur externe est indisponible.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000929"/>
      <w:sz w:val="32"/>
      <w:szCs w:val="32"/>
    </w:rPr>
  </w:style>
  <w:style w:type="paragraph" w:styleId="Heading2">
    <w:name w:val="Heading 2"/>
    <w:basedOn w:val="Normal"/>
    <w:next w:val="Normal"/>
    <w:qFormat/>
    <w:pPr>
      <w:spacing w:after="140" w:before="280"/>
      <w:outlineLvl w:val="1"/>
    </w:pPr>
    <w:rPr>
      <w:b/>
      <w:bCs/>
      <w:color w:val="003593"/>
      <w:sz w:val="26"/>
      <w:szCs w:val="26"/>
    </w:rPr>
  </w:style>
  <w:style w:type="paragraph" w:styleId="Heading3">
    <w:name w:val="Heading 3"/>
    <w:basedOn w:val="Normal"/>
    <w:next w:val="Normal"/>
    <w:qFormat/>
    <w:pPr>
      <w:spacing w:after="100" w:before="220"/>
      <w:outlineLvl w:val="2"/>
    </w:pPr>
    <w:rPr>
      <w:b/>
      <w:bCs/>
      <w:color w:val="2B2E3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MonParcours — Choix technologiques &amp; Architecture IA</dc:title>
  <dc:creator>MonParcours</dc:creator>
  <cp:lastModifiedBy>Un-named</cp:lastModifiedBy>
  <cp:revision>1</cp:revision>
  <dcterms:created xsi:type="dcterms:W3CDTF">2026-07-30T10:42:06.206Z</dcterms:created>
  <dcterms:modified xsi:type="dcterms:W3CDTF">2026-07-30T10:42:06.207Z</dcterms:modified>
</cp:coreProperties>
</file>

<file path=docProps/custom.xml><?xml version="1.0" encoding="utf-8"?>
<Properties xmlns="http://schemas.openxmlformats.org/officeDocument/2006/custom-properties" xmlns:vt="http://schemas.openxmlformats.org/officeDocument/2006/docPropsVTypes"/>
</file>