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717D" w14:textId="77777777" w:rsidR="00A226F5" w:rsidRDefault="00000000">
      <w:pPr>
        <w:spacing w:after="60"/>
      </w:pPr>
      <w:r>
        <w:rPr>
          <w:b/>
          <w:bCs/>
          <w:color w:val="666666"/>
        </w:rPr>
        <w:t>BELAM-RĪGA</w:t>
      </w:r>
    </w:p>
    <w:p w14:paraId="24EA822F" w14:textId="77777777" w:rsidR="00A226F5" w:rsidRDefault="00000000">
      <w:pPr>
        <w:spacing w:after="300"/>
      </w:pPr>
      <w:r>
        <w:rPr>
          <w:b/>
          <w:bCs/>
          <w:color w:val="222222"/>
          <w:sz w:val="44"/>
          <w:szCs w:val="44"/>
        </w:rPr>
        <w:t>BLM Business Central Extensions</w:t>
      </w:r>
    </w:p>
    <w:p w14:paraId="5390FA46" w14:textId="77777777" w:rsidR="00A226F5" w:rsidRDefault="00000000">
      <w:pPr>
        <w:spacing w:after="500"/>
      </w:pPr>
      <w:r>
        <w:rPr>
          <w:b/>
          <w:bCs/>
          <w:color w:val="C55A11"/>
          <w:sz w:val="26"/>
          <w:szCs w:val="26"/>
        </w:rPr>
        <w:t>Deployment Guide — Publishing to Production</w:t>
      </w:r>
    </w:p>
    <w:p w14:paraId="7BDE27EB" w14:textId="77777777" w:rsidR="00A226F5" w:rsidRDefault="00000000">
      <w:pPr>
        <w:pStyle w:val="Heading1"/>
        <w:spacing w:before="400" w:after="200"/>
      </w:pPr>
      <w:r>
        <w:rPr>
          <w:b/>
          <w:bCs/>
          <w:color w:val="C55A11"/>
          <w:sz w:val="30"/>
          <w:szCs w:val="30"/>
        </w:rPr>
        <w:t>Why this guide exists</w:t>
      </w:r>
    </w:p>
    <w:p w14:paraId="14AE5012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Today, only one person can build and publish these apps to production, because doing so required a local development setup and personal Business Central credentials. If that person is unavailable — for example right after a Business Central version upgrade removes our custom extensions — nobody else could restore them.</w:t>
      </w:r>
    </w:p>
    <w:p w14:paraId="7E427304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This is now fixed. Publishing any of the 4 apps below to production is a single button click on GitHub, from any web browser. No installed software, no AL/Business Central knowledge, and no credentials are ever typed in — the deployment credential lives securely on GitHub and is used automatically.</w:t>
      </w:r>
    </w:p>
    <w:tbl>
      <w:tblPr>
        <w:tblW w:w="9000" w:type="dxa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226F5" w14:paraId="00EA129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434E4C" w14:textId="77777777" w:rsidR="00A226F5" w:rsidRDefault="00000000">
            <w:pPr>
              <w:spacing w:after="100" w:line="280" w:lineRule="auto"/>
            </w:pPr>
            <w:r>
              <w:rPr>
                <w:b/>
                <w:bCs/>
                <w:sz w:val="22"/>
                <w:szCs w:val="22"/>
              </w:rPr>
              <w:t>What you need:</w:t>
            </w:r>
          </w:p>
          <w:p w14:paraId="6F1F9E89" w14:textId="77777777" w:rsidR="00A226F5" w:rsidRDefault="00000000">
            <w:pPr>
              <w:spacing w:after="100" w:line="280" w:lineRule="auto"/>
            </w:pPr>
            <w:r>
              <w:rPr>
                <w:sz w:val="22"/>
                <w:szCs w:val="22"/>
              </w:rPr>
              <w:t>•  A web browser</w:t>
            </w:r>
          </w:p>
          <w:p w14:paraId="2B11E150" w14:textId="77777777" w:rsidR="00A226F5" w:rsidRDefault="00000000">
            <w:pPr>
              <w:spacing w:after="100" w:line="280" w:lineRule="auto"/>
            </w:pPr>
            <w:r>
              <w:rPr>
                <w:sz w:val="22"/>
                <w:szCs w:val="22"/>
              </w:rPr>
              <w:t>•  A GitHub account that's a member of the Belam-Riga organization (you already have this)</w:t>
            </w:r>
          </w:p>
          <w:p w14:paraId="67FD7122" w14:textId="77777777" w:rsidR="00A226F5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•  Nothing else</w:t>
            </w:r>
          </w:p>
        </w:tc>
      </w:tr>
    </w:tbl>
    <w:p w14:paraId="3AC13908" w14:textId="77777777" w:rsidR="00A226F5" w:rsidRDefault="00000000">
      <w:pPr>
        <w:pStyle w:val="Heading1"/>
        <w:spacing w:before="400" w:after="200"/>
      </w:pPr>
      <w:r>
        <w:rPr>
          <w:b/>
          <w:bCs/>
          <w:color w:val="C55A11"/>
          <w:sz w:val="30"/>
          <w:szCs w:val="30"/>
        </w:rPr>
        <w:t>The 4 apps</w:t>
      </w:r>
    </w:p>
    <w:p w14:paraId="21B5AF94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Each app lives in its own GitHub repository and is deployed independently. Repeat the steps in this guide once per app you need to (re)publish.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2567"/>
        <w:gridCol w:w="4886"/>
      </w:tblGrid>
      <w:tr w:rsidR="00A226F5" w14:paraId="40557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2E2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1D7D75" w14:textId="77777777" w:rsidR="00A226F5" w:rsidRDefault="00000000">
            <w:r>
              <w:rPr>
                <w:b/>
                <w:bCs/>
                <w:color w:val="FFFFFF"/>
                <w:sz w:val="21"/>
                <w:szCs w:val="21"/>
              </w:rPr>
              <w:t>App</w:t>
            </w:r>
          </w:p>
        </w:tc>
        <w:tc>
          <w:tcPr>
            <w:tcW w:w="2400" w:type="dxa"/>
            <w:shd w:val="clear" w:color="auto" w:fill="2E2E2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2D04A" w14:textId="77777777" w:rsidR="00A226F5" w:rsidRDefault="00000000">
            <w:r>
              <w:rPr>
                <w:b/>
                <w:bCs/>
                <w:color w:val="FFFFFF"/>
                <w:sz w:val="21"/>
                <w:szCs w:val="21"/>
              </w:rPr>
              <w:t>GitHub repo</w:t>
            </w:r>
          </w:p>
        </w:tc>
        <w:tc>
          <w:tcPr>
            <w:tcW w:w="5000" w:type="dxa"/>
            <w:shd w:val="clear" w:color="auto" w:fill="2E2E2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DD781A" w14:textId="77777777" w:rsidR="00A226F5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A226F5" w14:paraId="4E0E3E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CA1C7" w14:textId="77777777" w:rsidR="00A226F5" w:rsidRDefault="00000000">
            <w:r>
              <w:rPr>
                <w:b/>
                <w:bCs/>
                <w:sz w:val="21"/>
                <w:szCs w:val="21"/>
              </w:rPr>
              <w:t>BLM Registers</w:t>
            </w:r>
          </w:p>
        </w:tc>
        <w:tc>
          <w:tcPr>
            <w:tcW w:w="24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471FC5" w14:textId="77777777" w:rsidR="00A226F5" w:rsidRDefault="00000000">
            <w:r>
              <w:rPr>
                <w:i/>
                <w:iCs/>
                <w:color w:val="666666"/>
              </w:rPr>
              <w:t>blm_registers</w:t>
            </w:r>
          </w:p>
        </w:tc>
        <w:tc>
          <w:tcPr>
            <w:tcW w:w="50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A7F30" w14:textId="77777777" w:rsidR="00A226F5" w:rsidRDefault="00000000">
            <w:r>
              <w:rPr>
                <w:sz w:val="21"/>
                <w:szCs w:val="21"/>
              </w:rPr>
              <w:t>Counteragents, Invoices IN/OUT, Payments, Projects, Contact/SharePoint sync. The main, most actively used extension.</w:t>
            </w:r>
          </w:p>
        </w:tc>
      </w:tr>
      <w:tr w:rsidR="00A226F5" w14:paraId="26B9D9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66FEC" w14:textId="77777777" w:rsidR="00A226F5" w:rsidRDefault="00000000">
            <w:r>
              <w:rPr>
                <w:b/>
                <w:bCs/>
                <w:sz w:val="21"/>
                <w:szCs w:val="21"/>
              </w:rPr>
              <w:t>BLM Tools</w:t>
            </w:r>
          </w:p>
        </w:tc>
        <w:tc>
          <w:tcPr>
            <w:tcW w:w="24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B06855" w14:textId="77777777" w:rsidR="00A226F5" w:rsidRDefault="00000000">
            <w:r>
              <w:rPr>
                <w:i/>
                <w:iCs/>
                <w:color w:val="666666"/>
              </w:rPr>
              <w:t>blm_tools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9F562E" w14:textId="77777777" w:rsidR="00A226F5" w:rsidRDefault="00000000">
            <w:r>
              <w:rPr>
                <w:sz w:val="21"/>
                <w:szCs w:val="21"/>
              </w:rPr>
              <w:t>Employee records and diagnostics.</w:t>
            </w:r>
          </w:p>
        </w:tc>
      </w:tr>
      <w:tr w:rsidR="00A226F5" w14:paraId="70FBF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09BCF" w14:textId="77777777" w:rsidR="00A226F5" w:rsidRDefault="00000000">
            <w:r>
              <w:rPr>
                <w:b/>
                <w:bCs/>
                <w:sz w:val="21"/>
                <w:szCs w:val="21"/>
              </w:rPr>
              <w:t>BLM Lursoft</w:t>
            </w:r>
          </w:p>
        </w:tc>
        <w:tc>
          <w:tcPr>
            <w:tcW w:w="24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F61E14" w14:textId="77777777" w:rsidR="00A226F5" w:rsidRDefault="00000000">
            <w:r>
              <w:rPr>
                <w:i/>
                <w:iCs/>
                <w:color w:val="666666"/>
              </w:rPr>
              <w:t>blm_lursoft</w:t>
            </w:r>
          </w:p>
        </w:tc>
        <w:tc>
          <w:tcPr>
            <w:tcW w:w="50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CC2DB" w14:textId="77777777" w:rsidR="00A226F5" w:rsidRDefault="00000000">
            <w:r>
              <w:rPr>
                <w:sz w:val="21"/>
                <w:szCs w:val="21"/>
              </w:rPr>
              <w:t>Looks up Baltic company registry (Lursoft) data for Latvia, Lithuania and Estonia.</w:t>
            </w:r>
          </w:p>
        </w:tc>
      </w:tr>
      <w:tr w:rsidR="00A226F5" w14:paraId="317A3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B3369C" w14:textId="77777777" w:rsidR="00A226F5" w:rsidRDefault="00000000">
            <w:r>
              <w:rPr>
                <w:b/>
                <w:bCs/>
                <w:sz w:val="21"/>
                <w:szCs w:val="21"/>
              </w:rPr>
              <w:t>BLM VAT Advance Payments</w:t>
            </w:r>
          </w:p>
        </w:tc>
        <w:tc>
          <w:tcPr>
            <w:tcW w:w="24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2B958" w14:textId="77777777" w:rsidR="00A226F5" w:rsidRDefault="00000000">
            <w:r>
              <w:rPr>
                <w:i/>
                <w:iCs/>
                <w:color w:val="666666"/>
              </w:rPr>
              <w:t>blm_vat_advance_payments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D2110" w14:textId="77777777" w:rsidR="00A226F5" w:rsidRDefault="00000000">
            <w:r>
              <w:rPr>
                <w:sz w:val="21"/>
                <w:szCs w:val="21"/>
              </w:rPr>
              <w:t>VAT reporting for advance payments.</w:t>
            </w:r>
          </w:p>
        </w:tc>
      </w:tr>
    </w:tbl>
    <w:p w14:paraId="379879CF" w14:textId="77777777" w:rsidR="00A226F5" w:rsidRDefault="00A226F5">
      <w:pPr>
        <w:spacing w:after="150" w:line="300" w:lineRule="auto"/>
      </w:pPr>
    </w:p>
    <w:p w14:paraId="6F85CD24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Each repository's web address is: github.com/Belam-Riga/&lt;repo name&gt; — for example, github.com/Belam-Riga/blm_registers.</w:t>
      </w:r>
    </w:p>
    <w:p w14:paraId="7B1BE133" w14:textId="77777777" w:rsidR="00A226F5" w:rsidRDefault="00000000">
      <w:r>
        <w:br w:type="page"/>
      </w:r>
    </w:p>
    <w:p w14:paraId="779B5CEE" w14:textId="77777777" w:rsidR="00A226F5" w:rsidRDefault="00000000">
      <w:pPr>
        <w:pStyle w:val="Heading1"/>
        <w:spacing w:before="400" w:after="200"/>
      </w:pPr>
      <w:r>
        <w:rPr>
          <w:b/>
          <w:bCs/>
          <w:color w:val="C55A11"/>
          <w:sz w:val="30"/>
          <w:szCs w:val="30"/>
        </w:rPr>
        <w:lastRenderedPageBreak/>
        <w:t>Understanding the version number</w:t>
      </w:r>
    </w:p>
    <w:p w14:paraId="1E491CF6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Each app has a version number with 4 parts, for example 1.10.1.23. Only the first 3 numbers matter — that's the real version, and it's what changes whenever a real feature or fix ships.</w:t>
      </w:r>
    </w:p>
    <w:tbl>
      <w:tblPr>
        <w:tblW w:w="9000" w:type="dxa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226F5" w14:paraId="0C76F08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E8BEA3" w14:textId="77777777" w:rsidR="00A226F5" w:rsidRDefault="00000000">
            <w:pPr>
              <w:spacing w:after="100" w:line="280" w:lineRule="auto"/>
            </w:pPr>
            <w:r>
              <w:rPr>
                <w:b/>
                <w:bCs/>
                <w:sz w:val="22"/>
                <w:szCs w:val="22"/>
              </w:rPr>
              <w:t>1 . 10 . 1 . 23</w:t>
            </w:r>
          </w:p>
          <w:p w14:paraId="7CE67909" w14:textId="77777777" w:rsidR="00A226F5" w:rsidRDefault="00000000">
            <w:pPr>
              <w:spacing w:after="100" w:line="280" w:lineRule="auto"/>
            </w:pPr>
            <w:r>
              <w:rPr>
                <w:sz w:val="22"/>
                <w:szCs w:val="22"/>
              </w:rPr>
              <w:t>│   │    │    └─ automatically generated, means nothing on its own</w:t>
            </w:r>
          </w:p>
          <w:p w14:paraId="30BE37FF" w14:textId="77777777" w:rsidR="00A226F5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│   │    └─ the real version ──────────────────┘</w:t>
            </w:r>
          </w:p>
        </w:tc>
      </w:tr>
    </w:tbl>
    <w:p w14:paraId="49F5478D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The last number is filled in automatically by the deployment system — it's just a counter for how many times the system has run, not something anyone chooses. It will often look different between the test environment and production, and that's completely normal — don't try to make them match. If you want to check “is production running the latest version”, compare only the first three numbers.</w:t>
      </w:r>
    </w:p>
    <w:p w14:paraId="1FB4FBFD" w14:textId="77777777" w:rsidR="00A226F5" w:rsidRDefault="00000000">
      <w:pPr>
        <w:pStyle w:val="Heading1"/>
        <w:spacing w:before="400" w:after="200"/>
      </w:pPr>
      <w:r>
        <w:rPr>
          <w:b/>
          <w:bCs/>
          <w:color w:val="C55A11"/>
          <w:sz w:val="30"/>
          <w:szCs w:val="30"/>
        </w:rPr>
        <w:t>How to publish an app to Production</w:t>
      </w:r>
    </w:p>
    <w:p w14:paraId="7D33E675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Repeat these steps for each app you need to publish. It takes about 2–5 minutes per app.</w:t>
      </w:r>
    </w:p>
    <w:p w14:paraId="4B1D16A2" w14:textId="77777777" w:rsidR="00A226F5" w:rsidRDefault="00000000">
      <w:pPr>
        <w:pStyle w:val="Heading2"/>
        <w:spacing w:before="300" w:after="150"/>
      </w:pPr>
      <w:r>
        <w:rPr>
          <w:b/>
          <w:bCs/>
          <w:color w:val="222222"/>
          <w:sz w:val="24"/>
          <w:szCs w:val="24"/>
        </w:rPr>
        <w:t>Step by step</w:t>
      </w:r>
    </w:p>
    <w:p w14:paraId="35FA0FB5" w14:textId="77777777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Open a web browser and go to github.com/Belam-Riga/&lt;repo name&gt; (see the table on page 2 for the exact name, e.g. blm_registers).</w:t>
      </w:r>
    </w:p>
    <w:p w14:paraId="553957D6" w14:textId="77777777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Click the “Actions” tab near the top of the page.</w:t>
      </w:r>
    </w:p>
    <w:p w14:paraId="13EB98B8" w14:textId="6155B070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In the left-hand list of workflows, click “Publish To Environment”.</w:t>
      </w:r>
      <w:r w:rsidR="000F7D7E">
        <w:rPr>
          <w:sz w:val="22"/>
          <w:szCs w:val="22"/>
          <w:lang w:val="en-US"/>
        </w:rPr>
        <w:t xml:space="preserve"> If it is not listed press “Show more workflows”, find “Publish to Environment” there. This option can be pinned so next time it is at the top of the list </w:t>
      </w:r>
    </w:p>
    <w:p w14:paraId="504E7481" w14:textId="77777777" w:rsidR="00A226F5" w:rsidRPr="000F7D7E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Click the “Run workflow” button (top right of the list, has a small dropdown arrow).</w:t>
      </w:r>
    </w:p>
    <w:p w14:paraId="5F15FDF0" w14:textId="3790FD81" w:rsidR="000F7D7E" w:rsidRDefault="000F7D7E" w:rsidP="000F7D7E">
      <w:pPr>
        <w:pStyle w:val="ListParagraph"/>
        <w:spacing w:after="120" w:line="300" w:lineRule="auto"/>
        <w:ind w:left="450"/>
        <w:rPr>
          <w:lang w:val="en-US"/>
        </w:rPr>
      </w:pPr>
      <w:r w:rsidRPr="000F7D7E">
        <w:drawing>
          <wp:inline distT="0" distB="0" distL="0" distR="0" wp14:anchorId="505A0246" wp14:editId="2003CEBB">
            <wp:extent cx="4048125" cy="1436418"/>
            <wp:effectExtent l="0" t="0" r="0" b="0"/>
            <wp:docPr id="68818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89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3773" cy="14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EB00" w14:textId="0ADD03CE" w:rsidR="00FB4452" w:rsidRPr="00FB4452" w:rsidRDefault="00FB4452" w:rsidP="000F7D7E">
      <w:pPr>
        <w:pStyle w:val="ListParagraph"/>
        <w:spacing w:after="120" w:line="300" w:lineRule="auto"/>
        <w:ind w:left="450"/>
        <w:rPr>
          <w:lang w:val="en-US"/>
        </w:rPr>
      </w:pPr>
      <w:r w:rsidRPr="00FB4452">
        <w:rPr>
          <w:lang w:val="en-US"/>
        </w:rPr>
        <w:lastRenderedPageBreak/>
        <w:drawing>
          <wp:inline distT="0" distB="0" distL="0" distR="0" wp14:anchorId="5BE7A44A" wp14:editId="3CBAAAF9">
            <wp:extent cx="2114550" cy="3316233"/>
            <wp:effectExtent l="0" t="0" r="0" b="0"/>
            <wp:docPr id="51752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7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983" cy="33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5266" w14:textId="77777777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A small panel opens. Leave “Use workflow from” as Branch: main.</w:t>
      </w:r>
    </w:p>
    <w:p w14:paraId="41DE1594" w14:textId="77777777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Leave “App version to deploy to environment(s)” as current.</w:t>
      </w:r>
    </w:p>
    <w:p w14:paraId="7FEEB8C9" w14:textId="77777777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In the “Environment mask” box, type exactly: Belam_live</w:t>
      </w:r>
    </w:p>
    <w:p w14:paraId="0433F80D" w14:textId="77777777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Leave the “Create environment if it does not exist” checkbox UNCHECKED.</w:t>
      </w:r>
    </w:p>
    <w:p w14:paraId="58BFB61B" w14:textId="77777777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Click the green “Run workflow” button inside the panel.</w:t>
      </w:r>
    </w:p>
    <w:p w14:paraId="02C8AB46" w14:textId="77777777" w:rsidR="00FB4452" w:rsidRPr="00FB4452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 xml:space="preserve">Wait 2–5 minutes, then refresh the page. </w:t>
      </w:r>
      <w:r w:rsidR="00FB4452">
        <w:rPr>
          <w:sz w:val="22"/>
          <w:szCs w:val="22"/>
          <w:lang w:val="en-US"/>
        </w:rPr>
        <w:t xml:space="preserve">You should see a listing looking like this </w:t>
      </w:r>
    </w:p>
    <w:p w14:paraId="4F977CCC" w14:textId="66B48830" w:rsidR="00FB4452" w:rsidRPr="00FB4452" w:rsidRDefault="00FB4452" w:rsidP="00FB4452">
      <w:pPr>
        <w:pStyle w:val="ListParagraph"/>
        <w:spacing w:after="120" w:line="300" w:lineRule="auto"/>
        <w:ind w:left="450"/>
      </w:pPr>
      <w:r w:rsidRPr="00FB4452">
        <w:drawing>
          <wp:inline distT="0" distB="0" distL="0" distR="0" wp14:anchorId="36D9814A" wp14:editId="0CCDB856">
            <wp:extent cx="3829420" cy="1885950"/>
            <wp:effectExtent l="0" t="0" r="0" b="0"/>
            <wp:docPr id="41611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3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1213" cy="18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0A2A" w14:textId="087B71C8" w:rsidR="00A226F5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2"/>
          <w:szCs w:val="22"/>
        </w:rPr>
        <w:t>Look for a green checkmark (✓) next to the run that just started — that means it finished successfully.</w:t>
      </w:r>
    </w:p>
    <w:tbl>
      <w:tblPr>
        <w:tblW w:w="9000" w:type="dxa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226F5" w14:paraId="166A3F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24DDB9" w14:textId="77777777" w:rsidR="00A226F5" w:rsidRDefault="00000000">
            <w:pPr>
              <w:spacing w:after="100" w:line="280" w:lineRule="auto"/>
            </w:pPr>
            <w:r>
              <w:rPr>
                <w:b/>
                <w:bCs/>
                <w:sz w:val="22"/>
                <w:szCs w:val="22"/>
              </w:rPr>
              <w:t>If you see a red ✖ instead of a green ✓:</w:t>
            </w:r>
          </w:p>
          <w:p w14:paraId="225AF4B3" w14:textId="77777777" w:rsidR="00A226F5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Click into that run to see what failed, and contact Dmitrijs Krupņikovs. This process only ever touches the app's own code — it never affects your data, and it's always safe to fix the issue and run it again.</w:t>
            </w:r>
          </w:p>
        </w:tc>
      </w:tr>
    </w:tbl>
    <w:p w14:paraId="28D3FA8C" w14:textId="77777777" w:rsidR="00A226F5" w:rsidRDefault="00000000">
      <w:pPr>
        <w:pStyle w:val="Heading1"/>
        <w:spacing w:before="400" w:after="200"/>
      </w:pPr>
      <w:r>
        <w:rPr>
          <w:b/>
          <w:bCs/>
          <w:color w:val="C55A11"/>
          <w:sz w:val="30"/>
          <w:szCs w:val="30"/>
        </w:rPr>
        <w:lastRenderedPageBreak/>
        <w:t>When to use this</w:t>
      </w:r>
    </w:p>
    <w:p w14:paraId="673F90E4" w14:textId="77777777" w:rsidR="00A226F5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rPr>
          <w:sz w:val="22"/>
          <w:szCs w:val="22"/>
        </w:rPr>
        <w:t>After a Business Central version upgrade — upgrades can remove our custom (per-tenant) extensions, and this is how they get reinstalled.</w:t>
      </w:r>
    </w:p>
    <w:p w14:paraId="0CA67856" w14:textId="77777777" w:rsidR="00A226F5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rPr>
          <w:sz w:val="22"/>
          <w:szCs w:val="22"/>
        </w:rPr>
        <w:t>Whenever you're told a new version of one of the 4 apps is ready to go live.</w:t>
      </w:r>
    </w:p>
    <w:p w14:paraId="6963383B" w14:textId="77777777" w:rsidR="00A226F5" w:rsidRDefault="00A226F5">
      <w:pPr>
        <w:spacing w:after="150" w:line="300" w:lineRule="auto"/>
      </w:pPr>
    </w:p>
    <w:p w14:paraId="1E712A18" w14:textId="77777777" w:rsidR="00A226F5" w:rsidRDefault="00000000">
      <w:pPr>
        <w:spacing w:after="150" w:line="300" w:lineRule="auto"/>
      </w:pPr>
      <w:r>
        <w:rPr>
          <w:sz w:val="22"/>
          <w:szCs w:val="22"/>
        </w:rPr>
        <w:t>Nothing here ever happens automatically — an app only reaches production when someone deliberately runs these steps. Day-to-day development and testing continues exactly as before and never touches production on its own.</w:t>
      </w:r>
    </w:p>
    <w:sectPr w:rsidR="00A226F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AC1"/>
    <w:multiLevelType w:val="hybridMultilevel"/>
    <w:tmpl w:val="A14C7ACE"/>
    <w:lvl w:ilvl="0" w:tplc="99D65120">
      <w:start w:val="1"/>
      <w:numFmt w:val="bullet"/>
      <w:lvlText w:val="•"/>
      <w:lvlJc w:val="left"/>
      <w:pPr>
        <w:ind w:left="450" w:hanging="300"/>
      </w:pPr>
    </w:lvl>
    <w:lvl w:ilvl="1" w:tplc="CF94E142">
      <w:numFmt w:val="decimal"/>
      <w:lvlText w:val=""/>
      <w:lvlJc w:val="left"/>
    </w:lvl>
    <w:lvl w:ilvl="2" w:tplc="55B0B744">
      <w:numFmt w:val="decimal"/>
      <w:lvlText w:val=""/>
      <w:lvlJc w:val="left"/>
    </w:lvl>
    <w:lvl w:ilvl="3" w:tplc="4692A6C8">
      <w:numFmt w:val="decimal"/>
      <w:lvlText w:val=""/>
      <w:lvlJc w:val="left"/>
    </w:lvl>
    <w:lvl w:ilvl="4" w:tplc="D0A49A1E">
      <w:numFmt w:val="decimal"/>
      <w:lvlText w:val=""/>
      <w:lvlJc w:val="left"/>
    </w:lvl>
    <w:lvl w:ilvl="5" w:tplc="F5BE3CAC">
      <w:numFmt w:val="decimal"/>
      <w:lvlText w:val=""/>
      <w:lvlJc w:val="left"/>
    </w:lvl>
    <w:lvl w:ilvl="6" w:tplc="039CCAE4">
      <w:numFmt w:val="decimal"/>
      <w:lvlText w:val=""/>
      <w:lvlJc w:val="left"/>
    </w:lvl>
    <w:lvl w:ilvl="7" w:tplc="27AC491C">
      <w:numFmt w:val="decimal"/>
      <w:lvlText w:val=""/>
      <w:lvlJc w:val="left"/>
    </w:lvl>
    <w:lvl w:ilvl="8" w:tplc="4C52409E">
      <w:numFmt w:val="decimal"/>
      <w:lvlText w:val=""/>
      <w:lvlJc w:val="left"/>
    </w:lvl>
  </w:abstractNum>
  <w:abstractNum w:abstractNumId="1" w15:restartNumberingAfterBreak="0">
    <w:nsid w:val="6BEC05B0"/>
    <w:multiLevelType w:val="hybridMultilevel"/>
    <w:tmpl w:val="E5BCF886"/>
    <w:lvl w:ilvl="0" w:tplc="B0005D2E">
      <w:start w:val="1"/>
      <w:numFmt w:val="bullet"/>
      <w:lvlText w:val="●"/>
      <w:lvlJc w:val="left"/>
      <w:pPr>
        <w:ind w:left="720" w:hanging="360"/>
      </w:pPr>
    </w:lvl>
    <w:lvl w:ilvl="1" w:tplc="14A2FA4C">
      <w:start w:val="1"/>
      <w:numFmt w:val="bullet"/>
      <w:lvlText w:val="○"/>
      <w:lvlJc w:val="left"/>
      <w:pPr>
        <w:ind w:left="1440" w:hanging="360"/>
      </w:pPr>
    </w:lvl>
    <w:lvl w:ilvl="2" w:tplc="EE5CCB4C">
      <w:start w:val="1"/>
      <w:numFmt w:val="bullet"/>
      <w:lvlText w:val="■"/>
      <w:lvlJc w:val="left"/>
      <w:pPr>
        <w:ind w:left="2160" w:hanging="360"/>
      </w:pPr>
    </w:lvl>
    <w:lvl w:ilvl="3" w:tplc="DE166DEA">
      <w:start w:val="1"/>
      <w:numFmt w:val="bullet"/>
      <w:lvlText w:val="●"/>
      <w:lvlJc w:val="left"/>
      <w:pPr>
        <w:ind w:left="2880" w:hanging="360"/>
      </w:pPr>
    </w:lvl>
    <w:lvl w:ilvl="4" w:tplc="47AE6F7A">
      <w:start w:val="1"/>
      <w:numFmt w:val="bullet"/>
      <w:lvlText w:val="○"/>
      <w:lvlJc w:val="left"/>
      <w:pPr>
        <w:ind w:left="3600" w:hanging="360"/>
      </w:pPr>
    </w:lvl>
    <w:lvl w:ilvl="5" w:tplc="215E86A0">
      <w:start w:val="1"/>
      <w:numFmt w:val="bullet"/>
      <w:lvlText w:val="■"/>
      <w:lvlJc w:val="left"/>
      <w:pPr>
        <w:ind w:left="4320" w:hanging="360"/>
      </w:pPr>
    </w:lvl>
    <w:lvl w:ilvl="6" w:tplc="21205054">
      <w:start w:val="1"/>
      <w:numFmt w:val="bullet"/>
      <w:lvlText w:val="●"/>
      <w:lvlJc w:val="left"/>
      <w:pPr>
        <w:ind w:left="5040" w:hanging="360"/>
      </w:pPr>
    </w:lvl>
    <w:lvl w:ilvl="7" w:tplc="090ECB32">
      <w:start w:val="1"/>
      <w:numFmt w:val="bullet"/>
      <w:lvlText w:val="●"/>
      <w:lvlJc w:val="left"/>
      <w:pPr>
        <w:ind w:left="5760" w:hanging="360"/>
      </w:pPr>
    </w:lvl>
    <w:lvl w:ilvl="8" w:tplc="CC8E1F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1A3BAA"/>
    <w:multiLevelType w:val="hybridMultilevel"/>
    <w:tmpl w:val="41F4940E"/>
    <w:lvl w:ilvl="0" w:tplc="87B6D8A6">
      <w:start w:val="1"/>
      <w:numFmt w:val="decimal"/>
      <w:lvlText w:val="%1."/>
      <w:lvlJc w:val="left"/>
      <w:pPr>
        <w:ind w:left="450" w:hanging="300"/>
      </w:pPr>
    </w:lvl>
    <w:lvl w:ilvl="1" w:tplc="F2F67E16">
      <w:numFmt w:val="decimal"/>
      <w:lvlText w:val=""/>
      <w:lvlJc w:val="left"/>
    </w:lvl>
    <w:lvl w:ilvl="2" w:tplc="8FC036FC">
      <w:numFmt w:val="decimal"/>
      <w:lvlText w:val=""/>
      <w:lvlJc w:val="left"/>
    </w:lvl>
    <w:lvl w:ilvl="3" w:tplc="CA5CD33C">
      <w:numFmt w:val="decimal"/>
      <w:lvlText w:val=""/>
      <w:lvlJc w:val="left"/>
    </w:lvl>
    <w:lvl w:ilvl="4" w:tplc="1D964340">
      <w:numFmt w:val="decimal"/>
      <w:lvlText w:val=""/>
      <w:lvlJc w:val="left"/>
    </w:lvl>
    <w:lvl w:ilvl="5" w:tplc="3B56A64E">
      <w:numFmt w:val="decimal"/>
      <w:lvlText w:val=""/>
      <w:lvlJc w:val="left"/>
    </w:lvl>
    <w:lvl w:ilvl="6" w:tplc="729EB8AA">
      <w:numFmt w:val="decimal"/>
      <w:lvlText w:val=""/>
      <w:lvlJc w:val="left"/>
    </w:lvl>
    <w:lvl w:ilvl="7" w:tplc="FB56C7DE">
      <w:numFmt w:val="decimal"/>
      <w:lvlText w:val=""/>
      <w:lvlJc w:val="left"/>
    </w:lvl>
    <w:lvl w:ilvl="8" w:tplc="16DE8B46">
      <w:numFmt w:val="decimal"/>
      <w:lvlText w:val=""/>
      <w:lvlJc w:val="left"/>
    </w:lvl>
  </w:abstractNum>
  <w:num w:numId="1" w16cid:durableId="1581404722">
    <w:abstractNumId w:val="1"/>
    <w:lvlOverride w:ilvl="0">
      <w:startOverride w:val="1"/>
    </w:lvlOverride>
  </w:num>
  <w:num w:numId="2" w16cid:durableId="634454316">
    <w:abstractNumId w:val="2"/>
    <w:lvlOverride w:ilvl="0">
      <w:startOverride w:val="1"/>
    </w:lvlOverride>
  </w:num>
  <w:num w:numId="3" w16cid:durableId="1278752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6F5"/>
    <w:rsid w:val="000F7D7E"/>
    <w:rsid w:val="003C243B"/>
    <w:rsid w:val="00A226F5"/>
    <w:rsid w:val="00F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E3F0"/>
  <w15:docId w15:val="{9951567C-0556-4F0B-B9AA-A0654EBC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84dec4c-be98-4b6d-a27f-1e4178eb3d04}" enabled="1" method="Standard" siteId="{1c38a515-a904-4861-a6cf-f83e0cd11c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Dmitrijs Krupņikovs</cp:lastModifiedBy>
  <cp:revision>2</cp:revision>
  <dcterms:created xsi:type="dcterms:W3CDTF">2026-09-01T11:33:00Z</dcterms:created>
  <dcterms:modified xsi:type="dcterms:W3CDTF">2026-09-01T14:27:00Z</dcterms:modified>
</cp:coreProperties>
</file>