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Атлас серебряного ожерелья России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a1a1a1"/>
          <w:sz w:val="48"/>
          <w:szCs w:val="48"/>
        </w:rPr>
      </w:pPr>
      <w:r w:rsidDel="00000000" w:rsidR="00000000" w:rsidRPr="00000000">
        <w:rPr>
          <w:b w:val="1"/>
          <w:i w:val="0"/>
          <w:color w:val="a1a1a1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Вводный раздел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Общегеографическая 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Административно-территориальное деление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Как сюда попасть?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Природные условия развития туризма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Земля из Космоса - день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Земля из Космоса - ночь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Преобладающие породы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Ландшафты ледниковой эпохи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Природные зоны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Температура выше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Температура ниже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Снег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Комфортность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Полярные сияния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Социально-экономические условия развития туризма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Плотность населения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Промышленность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Доходы населения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Связь: Мегафон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Связь: МТС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Связь: Билайн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Отсутствие связи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Исторический раздел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Северная Русь до 862 г.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Правление Рюрика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Правление Владимира Крестителя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Раздробленность Руси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Правление Александра Невского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Закат Новгородской республики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Правление Ивана Грозного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Смутное время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Туристический раздел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Красивые места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 проекте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Атлас был составлен коллективом студентов 1 курса магистратуры кафедры картографии и геоинформатики географического факультета МГУ им. М. В. Ломоносова. Приятного просмотра.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1430000" cy="7610475"/>
            <wp:effectExtent b="0" l="0" r="0" t="0"/>
            <wp:docPr descr="Здесь будет карта" id="1" name="image1.jpg"/>
            <a:graphic>
              <a:graphicData uri="http://schemas.openxmlformats.org/drawingml/2006/picture">
                <pic:pic>
                  <pic:nvPicPr>
                    <pic:cNvPr descr="Здесь будет карта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Включить/Выключить лупу Показать легенду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