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hd w:fill="FFF2CC" w:val="clear"/>
        <w:spacing w:after="160" w:line="276"/>
      </w:pPr>
      <w:r>
        <w:rPr>
          <w:i/>
          <w:iCs/>
          <w:color w:val="7F6000"/>
        </w:rPr>
        <w:t xml:space="preserve">[TODO] Confirm exact numbers, sex distribution, housing, ethics protocol number.</w:t>
      </w:r>
    </w:p>
    <w:p>
      <w:pPr>
        <w:spacing w:after="160" w:line="276"/>
      </w:pPr>
      <w:r>
        <w:t xml:space="preserve">C9orf72-knockout mice and wild-type littermates were studied. A total of [N] animals contributed data ([N] knockout, [N] wild-type). Animals were maintained under a [12:12] light-dark cycle with food and water available ad libitum. All procedures were approved by the [institutional animal care committee, protocol number TODO] and conformed to [relevant national guidelines]. Sample size was based on [rationale TODO].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Two-channel EEG was recorded from a hippocampal (CA3) electrode and a parietal sensorimotor cortical electrode (S1/PtA), sampled at [original rate TODO] Hz and stored in Axon Binary Format, with synchronous video for behavioural annotation and movement quantification. Electrodes targeted right CA3 (AP −2.5, ML +3.0, DV −3.0 mm from bregma) and left S1/PtA (AP −2.0, ML −2.0, DV −1.5 mm), with a frontal reference (AP +1.0, ML +1.0, DV −0.5 mm). The cortical site is parietal sensorimotor cortex and is anatomically distinct from primary motor cortex (M1); this distinction is relevant to interpretation and is examined in detail in a companion study of circuit-specific dissociation [ref: companion paper]. Recordings were obtained at six timepoints: 3 months (pre-symptomatic baseline, before kainic-acid administration), 4 months (the kainic-acid challenge day), and 6, 7, 9, and 12 months. Signals were down-sampled to 500 Hz after anti-alias decimation and segmented into 4-second epochs.</w:t>
      </w:r>
    </w:p>
    <w:p>
      <w:pPr>
        <w:pStyle w:val="Heading2"/>
      </w:pPr>
      <w:r>
        <w:t xml:space="preserve">Kainic-acid challenge</w:t>
      </w:r>
    </w:p>
    <w:p>
      <w:pPr>
        <w:shd w:fill="FFF2CC" w:val="clear"/>
        <w:spacing w:after="160" w:line="276"/>
      </w:pPr>
      <w:r>
        <w:rPr>
          <w:i/>
          <w:iCs/>
          <w:color w:val="7F6000"/>
        </w:rPr>
        <w:t xml:space="preserve">[TODO] Dose, route, timing relative to recording.</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using relative band-power criteria. Wake was defined by high signal variance or elevated fast-frequency (beta/gamma) activity; REM by theta-dominant, low-delta, low-amplitude activity (relative theta above the median, relative delta below the median, total variance below the 75th percentile); NREM by delta-dominant activity. The approach was applied identically to all recordings and yielded biologically plausible state distributions (REM [20–32]% of epochs per recording). Classification was based on EEG features rather than concurrent electromyography, a limitation considered in the Discussion. State percentages were computed per recording, and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hd w:fill="FFF2CC" w:val="clear"/>
        <w:spacing w:after="160" w:line="276"/>
      </w:pPr>
      <w:r>
        <w:rPr>
          <w:i/>
          <w:iCs/>
          <w:color w:val="7F6000"/>
        </w:rPr>
        <w:t xml:space="preserve">[TODO] Describe the behavioural battery, administered at 10 months of age: novel object recognition (discrimination index), open field (distance, centre time, rearing, velocity), fear conditioning (cued and contextual freezing), grip strength (forelimb, hindlimb, body-weight-normalized composite). State apparatus, protocols, scoring, and blinding.</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[20–32]% of epochs per recording,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REM occupied a physiological fraction of recording time (6.7\u201311.6% of total epochs; ~20\u201329% of sleep), consistent with normal mouse REM and inconsistent with substantial active-wake inflation. Second, of the epochs the classifier labelled REM, 94.8% were behaviourally immobile, the highest immobile fraction of any state (REM 95%, NREM 90%, wake 89% immobile); REM motion was significantly lower than wake (Mann-Whitney p &lt; 0.001) and, as expected for the state with the most complete atonia, was the lowest of the three states. Because average wake motion is dominated by quiet rest, the most informative contrast is with active wake specifically: REM motion was far below the high-movement (active) wake epochs that constitute the actual confound. Third, the staging reproduced canonical sleep architecture \u2014 REM was rarely entered directly from wake (wake\u2192REM transition probability 0.07), showed self-maintenance, and had physiological bout durations \u2014 and hippocampal CA3 theta was greatest during REM, with a ~6.5 Hz peak characteristic of rodent REM theta (CA3 theta/delta REM vs wake Cohen\u2019s d = +0.36). Together these analyses indicate that the EEG-defined REM state is immobile, theta-dominant, hippocampally appropriate, and transitionally consistent with physiological REM, rather than misclassified active wakefulness; the formal limitation that video immobility is a surrogate for, not a direct measurement of, muscle atonia is noted in the Discussion.</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6.7\u201311.6%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(~5\u201310%)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~20\u201329%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94.8%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\u2192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89%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is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\u22120.27, p &lt; 0.001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significantly less mobile than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Wake\u2192REM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~6.5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genotype-blind contrast with active (high-movement) wake is reported in Fig. S7. [Values to be updated from the full-cohort run.]</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80"/>
      </w:pPr>
      <w:r>
        <w:rPr>
          <w:i/>
          <w:iCs/>
          <w:color w:val="AA0000"/>
        </w:rPr>
        <w:t xml:space="preserve">[missing figure: sleep_state_validation_motion.png]</w:t>
      </w:r>
    </w:p>
    <w:p>
      <w:pPr>
        <w:spacing w:after="160" w:line="276"/>
      </w:pPr>
      <w:r>
        <w:rPr>
          <w:b/>
          <w:bCs/>
        </w:rPr>
        <w:t xml:space="preserve">Figure S7. Validation of EEG-defined REM using synchronous video. </w:t>
      </w:r>
      <w:r>
        <w:t xml:space="preserve">Left: video motion energy (an electromyography surrogate) by vigilance state; REM-classified epochs are as immobile as NREM and below active wakefulness, with 94.8% of REM epochs behaviourally immobile. Right: per-epoch hippocampal CA3 theta/delta against cortical delta/theta ratio, coloured by motion energy; the REM cluster shows high CA3 theta and low movement. Together with physiological REM proportion, low wake-to-REM transition probability, and a ~6.5 Hz CA3 theta peak,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7900b4542e1430a9a6abb9d6800df07e05430ca9.png"/><Relationship Id="rId16" Type="http://schemas.openxmlformats.org/officeDocument/2006/relationships/image" Target="media/7e0e98b61c09d66a27f8b2ca48055ed0390e5773.png"/><Relationship Id="rId17" Type="http://schemas.openxmlformats.org/officeDocument/2006/relationships/image" Target="media/8fb8b24ce089f327b515af2bc59bc8c205837a39.png"/><Relationship Id="rId18" Type="http://schemas.openxmlformats.org/officeDocument/2006/relationships/image" Target="media/8b21ee860393a0ff7cbd441edf8ee86e26816587.png"/><Relationship Id="rId19" Type="http://schemas.openxmlformats.org/officeDocument/2006/relationships/image" Target="media/1e6e0c57196579f79f6c4c07cc0f7a3a589a7b49.png"/><Relationship Id="rId20" Type="http://schemas.openxmlformats.org/officeDocument/2006/relationships/image" Target="media/cff865c28d23764de1583429c88dadd727b3b347.png"/><Relationship Id="rId21" Type="http://schemas.openxmlformats.org/officeDocument/2006/relationships/image" Target="media/ced7384e2c4a646bab810eddad7c9b439f4752e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2026-06-18T23:08:13.426Z</dcterms:created>
  <dcterms:modified xsi:type="dcterms:W3CDTF">2026-06-18T23:08:13.426Z</dcterms:modified>
</cp:coreProperties>
</file>

<file path=docProps/custom.xml><?xml version="1.0" encoding="utf-8"?>
<Properties xmlns="http://schemas.openxmlformats.org/officeDocument/2006/custom-properties" xmlns:vt="http://schemas.openxmlformats.org/officeDocument/2006/docPropsVTypes"/>
</file>