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pacing w:after="160" w:line="276"/>
      </w:pPr>
      <w:r>
        <w:t xml:space="preserve">Animals were implanted and entered the longitudinal protocol at 3 months of age (wild-type n = 9, knockout n = 9). Continuous 24-hour EEG with synchronous video was then acquired at 3, 4, 6, 7, 9, and 12 months. The number of animals contributing usable recordings declined with age, as expected for an end-stage neurodegeneration model: wild-type and knockout counts were 9/9 at 3 months, 8/8 at 4 and 6 months, 8/6 at 7 months, 6/4 at 9 months, and 4/4 at 12 months. The behavioural battery at 10 months was administered to the surviving cohort (wild-type n = 9, knockout n = 9; per-subtest n = 8–14 depending on the measure). The full flow is shown in Supplementary Fig. S1. The per-timepoint counts reported here reflect animals with usable, video-paired recordings at each session and are a lower bound on the number contributing EEG; final enrolment and attrition figures, together with reasons for loss at each stage, are to be reconciled against the master study log before submission [TODO: confirm against enrolment log].</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pacing w:after="160" w:line="276"/>
      </w:pPr>
      <w:r>
        <w:t xml:space="preserve">Brain–behaviour and brain–histology relationships were assessed at the level of individual animals. Per-animal EEG features (for example REM relative theta and beta, theta/delta ratio, and signal-complexity measures at the relevant timepoint) were correlated with behavioural scores from the 10-month battery and, where available, with parvalbumin-interneuron measures, using Spearman rank correlation. Two relationships were pre-specified: 9-month REM theta against novel object recognition, and the 3-to-12-month beta change against grip strength. Because behaviour was assessed at 10 months without concurrent EEG, pre-specified features were tested against the nearest sessions (9 and 12 months). Correlations were computed within the behaviourally phenotyped subset (n = 8–14 depending on measure) and corrected for multiple comparisons with the Benjamini–Hochberg false discovery rate across the pre-specified set; exploratory correlations outside that set are reported uncorrected and identified as hypothesis-generating. Given the modest phenotyped sample, individual correlation coefficients are interpreted with caution and emphasis is placed on the group-level phenotype.</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Headline feature comparisons treating each recording session as the unit of analysis, with group means, Cohen’s d,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0.438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0.788</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+1.84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0.772</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1.536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0.976</w:t>
            </w:r>
          </w:p>
        </w:tc>
      </w:tr>
    </w:tbl>
    <w:p>
      <w:pPr>
        <w:spacing w:after="160" w:line="276"/>
      </w:pPr>
      <w:r>
        <w:t xml:space="preserve">Headline features at each timepoint with each recording session treated as the unit of analysis (Scenario B), rather than averaging to one value per animal (Scenario A, the primary analysis). Group means, Cohen's d, and raw and Benjamini-Hochberg FDR-adjusted p-values are shown. The acute (4-month) and end-stage (12-month) beta and theta effects that define the primary analysis reproduce in direction and magnitude under session-level inference, and the 4-month theta/delta and 9-month relative-theta effects likewise persist, indicating the headline findings are not artifacts of the animal-level averaging. Per-timepoint sample sizes (sessions per group) were 18/18 (3m), 8/8 (4m), 16/16 (6m), 16/12 (7m), 9/8 (9m), and 8/8 (12m). Full feature-by-timepoint tables for all measures are available in the results files (statistics_[tp]_B.csv).</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1.330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0.645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bl>
    <w:p>
      <w:pPr>
        <w:spacing w:after="160" w:line="276"/>
      </w:pPr>
      <w:r>
        <w:t xml:space="preserve">Headline features at the two intermediate timepoints (6 and 7 months) that fall between the acute challenge and the progressive and end-stage windows, at the animal level (Scenario A). No headline feature differed significantly between genotypes at either timepoint after FDR correction. This is consistent with the biphasic trajectory described in the Results, in which the acute (4-month) elevation has resolved and the end-stage (12-month) reversal has not yet developed, leaving 6 and 7 months as a relatively quiescent interval for these measures. Per-group sample sizes were 8/8 (6m) and 8/6 (7m). Full feature tables are available in the results files (statistics_6m_A.csv, statistics_7m_A.csv).</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pacing w:after="160" w:line="276"/>
      </w:pPr>
      <w:r>
        <w:t xml:space="preserve">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pacing w:after="40" w:before="120"/>
        <w:jc w:val="center"/>
      </w:pPr>
      <w:r>
        <w:drawing>
          <wp:inline distT="0" distB="0" distL="0" distR="0">
            <wp:extent cx="3619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371850"/>
                    </a:xfrm>
                    <a:prstGeom prst="rect">
                      <a:avLst/>
                    </a:prstGeom>
                  </pic:spPr>
                </pic:pic>
              </a:graphicData>
            </a:graphic>
          </wp:inline>
        </w:drawing>
      </w:r>
    </w:p>
    <w:p>
      <w:pPr>
        <w:spacing w:after="160" w:line="276"/>
      </w:pPr>
      <w:r>
        <w:rPr>
          <w:b/>
          <w:bCs/>
        </w:rPr>
        <w:t xml:space="preserve">Figure S1. Animal flow through the longitudinal study. </w:t>
      </w:r>
      <w:r>
        <w:t xml:space="preserve">CONSORT-style accounting of wild-type and knockout animals from implantation at 3 months through the six EEG timepoints (3, 4, 6, 7, 9, 12 months) and the 10-month behavioural battery, with per-timepoint counts and attrition by genotype. Counts reflect animals with usable, video-paired recordings at each session and are a lower bound on contributing animals; values are to be reconciled against the master enrolment log, with reasons for attrition, before submission.</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b3338b35ba2f7a1fd5ac3461e676bfb1e9971597.png"/><Relationship Id="rId16" Type="http://schemas.openxmlformats.org/officeDocument/2006/relationships/image" Target="media/1b35dec17026abb986deecb63c09ba37763a8ec2.png"/><Relationship Id="rId17" Type="http://schemas.openxmlformats.org/officeDocument/2006/relationships/image" Target="media/7e0e98b61c09d66a27f8b2ca48055ed0390e5773.png"/><Relationship Id="rId18" Type="http://schemas.openxmlformats.org/officeDocument/2006/relationships/image" Target="media/8fb8b24ce089f327b515af2bc59bc8c205837a39.png"/><Relationship Id="rId19" Type="http://schemas.openxmlformats.org/officeDocument/2006/relationships/image" Target="media/8b21ee860393a0ff7cbd441edf8ee86e26816587.png"/><Relationship Id="rId20" Type="http://schemas.openxmlformats.org/officeDocument/2006/relationships/image" Target="media/1e6e0c57196579f79f6c4c07cc0f7a3a589a7b49.png"/><Relationship Id="rId21" Type="http://schemas.openxmlformats.org/officeDocument/2006/relationships/image" Target="media/a1a1502d20452ab71da3412c5ebeedc6adfdd240.png"/><Relationship Id="rId22" Type="http://schemas.openxmlformats.org/officeDocument/2006/relationships/image" Target="media/ced7384e2c4a646bab810eddad7c9b439f4752ec.png"/><Relationship Id="rId23" Type="http://schemas.openxmlformats.org/officeDocument/2006/relationships/image" Target="media/f167fdf0efcbd6bf60862eba6a7a20bf6cad935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2026-06-20T11:49:08.371Z</dcterms:created>
  <dcterms:modified xsi:type="dcterms:W3CDTF">2026-06-20T11:49:08.372Z</dcterms:modified>
</cp:coreProperties>
</file>

<file path=docProps/custom.xml><?xml version="1.0" encoding="utf-8"?>
<Properties xmlns="http://schemas.openxmlformats.org/officeDocument/2006/custom-properties" xmlns:vt="http://schemas.openxmlformats.org/officeDocument/2006/docPropsVTypes"/>
</file>