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a unifying, prognostically important feature of amyotrophic lateral sclerosis (ALS) that precedes symptom onset and correlates with disease progression. The network signatures used to track it have been defined almost entirely in SOD1 and FUS models, in which a theta-gamma phase-amplitude coupling (PAC) deficit, linked to noradrenaline depletion, indexes cortical hyperexcitability. Whether these signatures generalize to C9orf72-mediated disease — the commonest genetic cause of ALS and frontotemporal dementia, and mechanistically distinct in involving loss of C9orf72 function — is unknown, with direct implications for whether a single network biomarker can serve a genetically heterogeneous patient population. We conducted a longitudinal electrophysiological study of C9orf72-knockout mice and wild-type littermates, recording hippocampal (CA3) and cortical (CTX) EEG with synchronous video across six timepoints from 3 to 12 months, spanning a pre-symptomatic baseline, an acute kainic-acid challenge, and progression to end-stage. Using a pre-specified, false discovery rate-controlled framework with per-timepoint and mixed-effects trajectory testing, we identified a biphasic trajectory of network dysfunction most clearly expressed during REM sleep. Relative beta power was elevated in knockout mice during the acute phase (4 months; REM Cohen’s d = 1.27, wake d = 1.26) and reduced at end-stage (12 months; REM d = −1.66, wake d = −1.61); this sign reversal was supported by per-timepoint testing in both directions and by cluster-robust mixed-effects modelling (interaction p = 0.048). REM theta/delta ratio was acutely elevated at challenge (d = 1.97) and REM relative theta remained elevated through 9 months (d = 1.76). Sleep architecture showed a progressive bias toward entering REM from NREM (12 months d = 3.85). In direct contrast to SOD1 and FUS models, C9orf72-knockout mice showed no cortical theta-gamma PAC deficit during REM at any timepoint, establishing a genotype-specific network divergence. [Placeholder: behavioural and parvalbumin-interneuron correlations.] These findings identify REM sleep as a sensitive window onto C9orf72 network dysfunction and reveal a genotype-specific, biphasic trajectory compatible with the hyperexcitable-to-hypoexcitable transition of human ALS, with consequences for stratified biomarker development.</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defined by the progressive loss of upper and lower motor neurons, with death typically occurring within two to five years of symptom onset. A unifying physiological feature across both sporadic and familial forms is cortical hyperexcitability, which precedes the onset of motor symptoms, correlates negatively with survival, and is sufficient to trigger neurodegeneration in rodent models. The ability to detect and track this network dysfunction non-invasively would be of substantial value for early diagnosis, patient stratification, and the monitoring of therapeutic response — needs that are especially acute in a disease whose clinical heterogeneity delays diagnosis and complicates trial design.</w:t>
      </w:r>
    </w:p>
    <w:p>
      <w:pPr>
        <w:spacing w:after="160" w:line="276"/>
      </w:pPr>
      <w:r>
        <w:t xml:space="preserve">Hexanucleotide repeat expansion in C9orf72 is the most common genetic cause of both ALS and frontotemporal dementia, accounting for a substantial fraction of familial and a meaningful proportion of apparently sporadic cases. [TODO insert precise prevalence figures with citation.] Despite this prominence, the network-level electrophysiology of C9orf72-mediated disease remains comparatively underexplored. Most of what is known about ALS cortical network dysfunction derives from the SOD1 and FUS models, in which recent work established a deficit in theta-gamma phase-amplitude coupling (PAC) as a traceable readout of cortical hyperexcitability, present from pre-symptomatic stages, correlated with the rate of disease progression in patients, and linked mechanistically to a deficiency of cortical noradrenaline. These are predominantly gain-of-function models. C9orf72 disease, by contrast, combines repeat-associated gain-of-function toxicity with loss of C9orf72 protein function, the latter affecting autophagy and immune regulation. The C9orf72-knockout model isolates the loss-of-function component, allowing its specific contribution to network pathophysiology to be examined. Because the genetic subtypes of ALS engage partly distinct molecular pathways, the network phenotypes they produce may also differ; whether the SOD1/FUS coupling signature is a universal correlate of ALS cortical dysfunction or a subtype-specific one is unknown, and the answer bears directly on whether a network biomarker calibrated in one genetic context can be expected to transfer to another.</w:t>
      </w:r>
    </w:p>
    <w:p>
      <w:pPr>
        <w:spacing w:after="160" w:line="276"/>
      </w:pPr>
      <w:r>
        <w:t xml:space="preserve">Sleep provides a particularly informative window onto cortical network state. Distinct vigilance states impose characteristic oscillatory regimes, and REM sleep in rodents is marked by prominent theta and gamma activity that depends sensitively on the balance of excitation and inhibition; it is also a state in which several neuromodulatory systems that normally constrain cortical excitability are at their lowest tone. Disruption of sleep architecture and of state-specific oscillatory dynamics is increasingly recognized as an early feature of neurodegeneration. We reasoned that a longitudinal, state-resolved analysis of the EEG — rather than a single cross-sectional snapshot — would be best placed to reveal how network function evolves across the C9orf72 disease course, and that REM sleep in particular might expose latent network abnormalities.</w:t>
      </w:r>
    </w:p>
    <w:p>
      <w:pPr>
        <w:spacing w:after="160" w:line="276"/>
      </w:pPr>
      <w:r>
        <w:t xml:space="preserve">Here we report such a study. We recorded EEG from hippocampal and cortical electrodes, with synchronous video, in C9orf72-knockout mice and wild-type littermates across six timepoints from 3 to 12 months, encompassing a pre-symptomatic baseline, an acute kainic-acid challenge intended to probe network vulnerability, and progression toward end-stage. Using a pre-specified, false discovery rate-controlled analytic framework complemented by mixed-effects trajectory modelling and analysis of sleep-state transition dynamics, we asked three questions: whether and how network function changes across the disease course; whether such changes are state-specific; and whether the theta-gamma PAC signature reported in other ALS models is present in C9orf72 disease. We find a biphasic trajectory of network dysfunction concentrated in REM sleep, and — in contrast to SOD1 and FUS models — no cortical theta-gamma PAC deficit, together defining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hd w:fill="FFF2CC" w:val="clear"/>
        <w:spacing w:after="160" w:line="276"/>
      </w:pPr>
      <w:r>
        <w:rPr>
          <w:i/>
          <w:iCs/>
          <w:color w:val="7F6000"/>
        </w:rPr>
        <w:t xml:space="preserve">[TODO] Confirm exact numbers, sex distribution, housing, ethics protocol number.</w:t>
      </w:r>
    </w:p>
    <w:p>
      <w:pPr>
        <w:spacing w:after="160" w:line="276"/>
      </w:pPr>
      <w:r>
        <w:t xml:space="preserve">C9orf72-knockout mice and wild-type littermates were studied. A total of [N] animals contributed data ([N] knockout, [N] wild-type). Animals were maintained under a [12:12] light-dark cycle with food and water available ad libitum. All procedures were approved by the [institutional animal care committee, protocol number TODO] and conformed to [relevant national guidelines]. Sample size was based on [rationale TODO].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Two-channel EEG was recorded from a hippocampal (CA3) electrode and a cortical (CTX) electrode, sampled at [original rate TODO] Hz and stored in Axon Binary Format, with synchronous video for behavioural annotation and movement quantification. Recordings were obtained at six timepoints: 3 months (pre-symptomatic baseline, before kainic-acid administration), 4 months (the kainic-acid challenge day), and 6, 7, 9, and 12 months. Signals were down-sampled to 500 Hz after anti-alias decimation and segmented into 4-second epochs.</w:t>
      </w:r>
    </w:p>
    <w:p>
      <w:pPr>
        <w:pStyle w:val="Heading2"/>
      </w:pPr>
      <w:r>
        <w:t xml:space="preserve">Kainic-acid challenge</w:t>
      </w:r>
    </w:p>
    <w:p>
      <w:pPr>
        <w:shd w:fill="FFF2CC" w:val="clear"/>
        <w:spacing w:after="160" w:line="276"/>
      </w:pPr>
      <w:r>
        <w:rPr>
          <w:i/>
          <w:iCs/>
          <w:color w:val="7F6000"/>
        </w:rPr>
        <w:t xml:space="preserve">[TODO] Dose, route, timing relative to recording.</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using relative band-power criteria. Wake was defined by high signal variance or elevated fast-frequency (beta/gamma) activity; REM by theta-dominant, low-delta, low-amplitude activity (relative theta above the median, relative delta below the median, total variance below the 75th percentile); NREM by delta-dominant activity. The approach was applied identically to all recordings and yielded biologically plausible state distributions (REM [20–32]% of epochs per recording). Classification was based on EEG features rather than concurrent electromyography, a limitation considered in the Discussion. State percentages were computed per recording, and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CTX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hd w:fill="FFF2CC" w:val="clear"/>
        <w:spacing w:after="160" w:line="276"/>
      </w:pPr>
      <w:r>
        <w:rPr>
          <w:i/>
          <w:iCs/>
          <w:color w:val="7F6000"/>
        </w:rPr>
        <w:t xml:space="preserve">[TODO] Describe the 10-month battery: novel object recognition (discrimination index), open field (distance, centre time, rearing, velocity), fear conditioning (cued and contextual freezing), grip strength (forelimb, hindlimb, body-weight-normalized composite). State apparatus, protocols, scoring, and blinding.</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representing [20–32]% of epochs per recording, enabling state-resolved spectral analysis throughout the disease course and supporting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This biphasic course — elevated beta activity during the acute phase giving way to reduced beta activity at end-stage — is compatible with the hyperexcitable-to-hypoexcitable transition described in human ALS, here observed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 a distinction made explicit by the joint per-timepoint and trajectory analyses.</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Because theta-gamma PAC has been established as a cortical hyperexcitability readout in SOD1 and FUS models, we tested directly for this signature in C9orf72-knockout mice, matching the published methodology in coupling bands, vigilance state, recording site, and pre-symptomatic timepoint (Fig. 5). Contrary to the pattern reported in those models, cortical theta-high-gamma PAC during REM did not differ between genotypes at any timepoint (3 months d = 0.25; 4 months d = 0.02; 12 months d = 0.02; all non-significant), and where differences trended they did not favour reduced coupling in knockout mice. The only coupling effects with confidence intervals excluding zero were hippocampal, during NREM, at later timepoints (9-month CA3 alpha-low-gamma d = −1.51; 12-month CA3 alpha-high-gamma d = −1.15) — a different channel, state, and frequency combination from the cortical REM signature. C9orf72-knockout mice therefore do not reproduce the cortical theta-gamma PAC deficit that characterizes SOD1 and FUS disease, indicating that this coupling signature is not a universal feature across ALS genetic subtypes.</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but duration was, underscoring the value of event-level over count-level metrics. At 7 months, CA3-CTX delta coherence was reduced in knockout mice (d = −1.28; confidence interval excluding zero), and circuit dissociation between hippocampal and cortical channels increased progressively with age in knockout but not wild-type animals (knockout decorrelation trajectory ρ = 0.43, p = 0.007; wild-type ρ = 0.06, not significant), consistent with a developing functional disconnection between the two structures. In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Behavioural correlates of the network trajectory</w:t>
      </w:r>
    </w:p>
    <w:p>
      <w:pPr>
        <w:shd w:fill="E2EFDA" w:val="clear"/>
        <w:spacing w:after="160" w:line="276"/>
      </w:pPr>
      <w:r>
        <w:rPr>
          <w:i/>
          <w:iCs/>
          <w:color w:val="375623"/>
        </w:rPr>
        <w:t xml:space="preserve">[PLACEHOLDER] Behavioural data (novel object recognition, open field, fear conditioning, grip strength) collected at 10 months are available and being integrated. Pre-specified hypotheses: (i) 9-month REM theta and (ii) the 3-month aperiodic exponent predict individual behavioural performance, and late-stage beta reduction tracks grip-strength decline — linking the network trajectory to functional outcome and establishing a prospective biomarker relationship. Results to be inserted.</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 providing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 elevated in knockout mice during the acute challenge phase and reduced at end-stage —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most conceptually consequential result is comparative.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 REM theta dominance and biphasic beta-band change, in the absence of a cortical PAC deficit —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The concentration of findings in REM sleep is notable: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Several findings point toward a thalamocortical and circuit-level substrate. Reduced sleep-spindle duration at the pre-symptomatic baseline, without a change in spindle rate, indicates an early alteration of thalamocortical spindle generation; the reduced CA3-CTX delta coherence and the progressively increasing hippocampal-cortical decorrelation in knockout animals indicate a developing functional disconnection between the structures; and the prospective relationship between the pre-symptomatic aperiodic exponent and end-stage complexity suggests that the baseline cortex foreshadows the eventual phenotype.</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 and the behavioural data will establish whether the network features predict functional outcome; integrating these levels is central to the disease-mechanism interpretation.</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 the within-animal longitudinal design and the mixed-effects modelling mitigate but do not eliminate this concern. Sleep-state classification used relative band-power criteria rather than concurrent electromyography; while internally consistent and yielding plausible state distributions, it lacks the specificity of polysomnographic staging. The kainic-acid challenge at 4 months provides a controlled probe of network vulnerability but means the acute timepoint reflects a perturbed rather than a spontaneous state. Finally, the present account is of the network trajectory; the behavioural and histological data that would anchor it to functional and cellular outcomes are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 legends</w:t>
      </w:r>
    </w:p>
    <w:p>
      <w:pPr>
        <w:spacing w:after="160" w:line="276"/>
      </w:pPr>
      <w:r>
        <w:rPr>
          <w:b/>
          <w:bCs/>
        </w:rPr>
        <w:t xml:space="preserve">Figure 1. Longitudinal study design and state-resolved dataset. </w:t>
      </w:r>
      <w:r>
        <w:t xml:space="preserve">Recording timeline across six timepoints (3, 4, 6, 7, 9, 12 months) with the kainic-acid challenge at 4 months; two-channel EEG configuration (CA3, CTX) with synchronous video; vigilance-state distribution per recording. A CONSORT-style animal-flow panel (enrolment and attrition) will be included here or as a supplementary figure.</w:t>
      </w:r>
    </w:p>
    <w:p>
      <w:pPr>
        <w:spacing w:after="160" w:line="276"/>
      </w:pPr>
      <w:r>
        <w:rPr>
          <w:b/>
          <w:bCs/>
        </w:rPr>
        <w:t xml:space="preserve">Figure 2. Biphasic reversal of beta-band network activity (central finding). </w:t>
      </w:r>
      <w:r>
        <w:t xml:space="preserve">Trajectories of relative beta power across timepoints in REM and wake, showing elevation in knockout mice at 4 months and reduction at 12 months; mixed-effects genotype-by-time interaction with cluster-robust inference.</w:t>
      </w:r>
    </w:p>
    <w:p>
      <w:pPr>
        <w:spacing w:after="160" w:line="276"/>
      </w:pPr>
      <w:r>
        <w:rPr>
          <w:b/>
          <w:bCs/>
        </w:rPr>
        <w:t xml:space="preserve">Figure 3. Acute REM dysregulation at the kainic-acid challenge. </w:t>
      </w:r>
      <w:r>
        <w:t xml:space="preserve">Group comparisons of REM theta/delta ratio, relative theta, and relative alpha at 4 months, elevated in knockout mice; effect sizes with bootstrap confidence intervals; FDR-significant comparisons indicated.</w:t>
      </w:r>
    </w:p>
    <w:p>
      <w:pPr>
        <w:spacing w:after="160" w:line="276"/>
      </w:pPr>
      <w:r>
        <w:rPr>
          <w:b/>
          <w:bCs/>
        </w:rPr>
        <w:t xml:space="preserve">Figure 4. Progressive destabilization of sleep-state architecture. </w:t>
      </w:r>
      <w:r>
        <w:t xml:space="preserve">State-transition probability matrices for knockout and wild-type mice at 3, 4, and 12 months, highlighting the increasing NREM-to-REM transition bias; REM dwell time across timepoints.</w:t>
      </w:r>
    </w:p>
    <w:p>
      <w:pPr>
        <w:spacing w:after="160" w:line="276"/>
      </w:pPr>
      <w:r>
        <w:rPr>
          <w:b/>
          <w:bCs/>
        </w:rPr>
        <w:t xml:space="preserve">Figure 5. Absence of the cortical theta-gamma PAC deficit reported in SOD1 and FUS models. </w:t>
      </w:r>
      <w:r>
        <w:t xml:space="preserve">Cortical theta-high-gamma modulation index during REM across timepoints in knockout and wild-type mice (pre-specified primary test), with hippocampal and wake comparisons for context.</w:t>
      </w:r>
    </w:p>
    <w:p>
      <w:pPr>
        <w:spacing w:after="160" w:line="276"/>
      </w:pPr>
      <w:r>
        <w:rPr>
          <w:b/>
          <w:bCs/>
        </w:rPr>
        <w:t xml:space="preserve">Figure 6. Circuit dissociation and pre-symptomatic signatures. </w:t>
      </w:r>
      <w:r>
        <w:t xml:space="preserve">CA3-CTX decorrelation trajectory in knockout versus wild-type mice; pre-symptomatic sleep-spindle duration; relationship between the 3-month aperiodic exponent and 12-month complexity.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2026-06-15T12:05:12.122Z</dcterms:created>
  <dcterms:modified xsi:type="dcterms:W3CDTF">2026-06-15T12:05:12.135Z</dcterms:modified>
</cp:coreProperties>
</file>

<file path=docProps/custom.xml><?xml version="1.0" encoding="utf-8"?>
<Properties xmlns="http://schemas.openxmlformats.org/officeDocument/2006/custom-properties" xmlns:vt="http://schemas.openxmlformats.org/officeDocument/2006/docPropsVTypes"/>
</file>