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28"/>
          <w:szCs w:val="28"/>
        </w:rPr>
        <w:t xml:space="preserve">Supplementary Materials: A biphasic trajectory of cortical and hippocampal network dysfunction during REM sleep in C9orf72-deficient mice</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Full feature-by-timepoint comparisons treating each recording session as the unit of analysis, with group means, Cohen’s d and 95% confidence intervals, and raw and FDR-adjusted p-values.</w:t>
      </w:r>
    </w:p>
    <w:p>
      <w:pPr>
        <w:spacing w:after="160" w:line="276"/>
      </w:pPr>
      <w:r>
        <w:rPr>
          <w:b/>
          <w:bCs/>
        </w:rPr>
        <w:t xml:space="preserve">Table S2. Mixed-effects models. </w:t>
      </w:r>
      <w:r>
        <w:t xml:space="preserve">Complete genotype ×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 [To be inserted from results CSV.]</w:t>
      </w:r>
    </w:p>
    <w:p>
      <w:pPr>
        <w:shd w:fill="E2EFDA" w:val="clear"/>
        <w:spacing w:after="160" w:line="276"/>
      </w:pPr>
      <w:r>
        <w:rPr>
          <w:i/>
          <w:iCs/>
          <w:color w:val="375623"/>
        </w:rPr>
        <w:t xml:space="preserve">[PLACEHOLDER] Awaiting the session-level results CSV (feature × timepoint, treating each recording session as the unit) to populate this table with exact group means, Cohen’s d [95% CI], and raw/FDR p-values.</w:t>
      </w:r>
    </w:p>
    <w:p>
      <w:pPr>
        <w:spacing w:after="60" w:before="200"/>
      </w:pPr>
      <w:r>
        <w:rPr>
          <w:b/>
          <w:bCs/>
        </w:rPr>
        <w:t xml:space="preserve">Table S2. Mixed-effects genotype ×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NREM→REM probability and REM→NREM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 [To be inserted from results CSV.]</w:t>
      </w:r>
    </w:p>
    <w:p>
      <w:pPr>
        <w:shd w:fill="E2EFDA" w:val="clear"/>
        <w:spacing w:after="160" w:line="276"/>
      </w:pPr>
      <w:r>
        <w:rPr>
          <w:i/>
          <w:iCs/>
          <w:color w:val="375623"/>
        </w:rPr>
        <w:t xml:space="preserve">[PLACEHOLDER] Awaiting the secondary-timepoint results CSV (6- and 7-month feature comparisons) to populate exact values.</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0.90</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0.109</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0.81</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0.017</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0.721</w:t>
            </w:r>
          </w:p>
        </w:tc>
      </w:tr>
    </w:tbl>
    <w:p>
      <w:pPr>
        <w:shd w:fill="E2EFDA" w:val="clear"/>
        <w:spacing w:after="160" w:line="276"/>
      </w:pPr>
      <w:r>
        <w:rPr>
          <w:i/>
          <w:iCs/>
          <w:color w:val="375623"/>
        </w:rPr>
        <w:t xml:space="preserve">[PLACEHOLDER] In-sample, leave-one-out cross-validated, and repeated stratified k-fold AUCs, with label-permutation p-values, for each headline feature. Out-of-sample (LOO-CV) AUC is the honest performance estimate; in-sample AUC is optimistic. The two acute REM features (4-month relative beta and theta/delta) and 3-month spindle duration classify genotype above chance under permutation testing, whereas the end-stage (12-month) beta reversal and the 3-month aperiodic exponent do not survive cross-validation at the available sample size and are interpreted as trajectory and predictive features respectively rather than standalone classifiers.</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(Cohen’s d, knockout −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7.0–10.3%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90%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ACTIVE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−1.28, p &lt; 10⁻⁸</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the objection-relevant contrast</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~6.3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diagnostic contrast is with active (high-movement) wake (Fig. S7); n = 20,436 REM epochs across the full cohort.</w:t>
      </w:r>
    </w:p>
    <w:p>
      <w:pPr>
        <w:shd w:fill="FFF2CC" w:val="clear"/>
        <w:spacing w:after="160" w:line="276"/>
      </w:pPr>
      <w:r>
        <w:rPr>
          <w:i/>
          <w:iCs/>
          <w:color w:val="7F6000"/>
        </w:rPr>
        <w:t xml:space="preserve">[TODO] Figure S1. Animal-flow diagram. CONSORT-style accounting of animals enrolled, contributing usable recordings at each timepoint, and lost to attrition, by genotype. Build from final animal numbers.</w:t>
      </w:r>
    </w:p>
    <w:p>
      <w:pPr>
        <w:spacing w:after="40" w:before="120"/>
        <w:jc w:val="center"/>
      </w:pPr>
      <w:r>
        <w:drawing>
          <wp:inline distT="0" distB="0" distL="0" distR="0">
            <wp:extent cx="4381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185737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(Cohen’s d, knockout −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18097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4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1809750"/>
                    </a:xfrm>
                    <a:prstGeom prst="rect">
                      <a:avLst/>
                    </a:prstGeom>
                  </pic:spPr>
                </pic:pic>
              </a:graphicData>
            </a:graphic>
          </wp:inline>
        </w:drawing>
      </w:r>
    </w:p>
    <w:p>
      <w:pPr>
        <w:spacing w:after="160" w:line="276"/>
      </w:pPr>
      <w:r>
        <w:rPr>
          <w:b/>
          <w:bCs/>
        </w:rPr>
        <w:t xml:space="preserve">Figure S7. Validation of EEG-defined REM using synchronous video. </w:t>
      </w:r>
      <w:r>
        <w:t xml:space="preserve">Left: video motion energy (an electromyography surrogate) by vigilance state, with wakefulness partitioned into quiet and active (upper movement quartile). REM-classified epochs are immobile and far below active wakefulness (Cohen’s d = −1.28), the contrast relevant to the active-wake confound; 91.6% of REM epochs were behaviourally immobile across the full cohort (n = 20,436). Right: hippocampal CA3 theta/delta ratio by state, greatest during REM (REM vs wake d = +0.38; ~6.3 Hz theta peak). Together with physiological REM proportion (7–10% of total time) and low wake-to-REM transition probability (0.07),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b35dec17026abb986deecb63c09ba37763a8ec2.png"/><Relationship Id="rId9" Type="http://schemas.openxmlformats.org/officeDocument/2006/relationships/image" Target="media/7e0e98b61c09d66a27f8b2ca48055ed0390e5773.png"/><Relationship Id="rId10" Type="http://schemas.openxmlformats.org/officeDocument/2006/relationships/image" Target="media/8fb8b24ce089f327b515af2bc59bc8c205837a39.png"/><Relationship Id="rId11" Type="http://schemas.openxmlformats.org/officeDocument/2006/relationships/image" Target="media/8b21ee860393a0ff7cbd441edf8ee86e26816587.png"/><Relationship Id="rId12" Type="http://schemas.openxmlformats.org/officeDocument/2006/relationships/image" Target="media/1e6e0c57196579f79f6c4c07cc0f7a3a589a7b49.png"/><Relationship Id="rId13" Type="http://schemas.openxmlformats.org/officeDocument/2006/relationships/image" Target="media/a1a1502d20452ab71da3412c5ebeedc6adfdd240.png"/><Relationship Id="rId14" Type="http://schemas.openxmlformats.org/officeDocument/2006/relationships/image" Target="media/ced7384e2c4a646bab810eddad7c9b439f4752ec.png"/><Relationship Id="rId15" Type="http://schemas.openxmlformats.org/officeDocument/2006/relationships/image" Target="media/f167fdf0efcbd6bf60862eba6a7a20bf6cad935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2026-06-19T21:59:42.303Z</dcterms:created>
  <dcterms:modified xsi:type="dcterms:W3CDTF">2026-06-19T21:59:42.303Z</dcterms:modified>
</cp:coreProperties>
</file>

<file path=docProps/custom.xml><?xml version="1.0" encoding="utf-8"?>
<Properties xmlns="http://schemas.openxmlformats.org/officeDocument/2006/custom-properties" xmlns:vt="http://schemas.openxmlformats.org/officeDocument/2006/docPropsVTypes"/>
</file>