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a unifying, prognostically important feature of amyotrophic lateral sclerosis (ALS) that precedes symptom onset and correlates with disease progression. The network signatures used to track it have been defined almost entirely in SOD1 and FUS models, in which a theta-gamma phase-amplitude coupling (PAC) deficit, linked to noradrenaline depletion, indexes cortical hyperexcitability; in sporadic patients this deficit is frequency-specific and localized to the dominant sensorimotor cortex. Whether these signatures generalize to C9orf72-mediated disease — the commonest genetic cause of ALS and frontotemporal dementia, and mechanistically distinct in involving loss of C9orf72 function — is unknown, with direct implications for whether a single network biomarker can serve a genetically heterogeneous patient population. We conducted a longitudinal electrophysiological study of C9orf72-knockout mice and wild-type littermates, recording hippocampal (CA3) and parietal sensorimotor (S1/PtA) cortical EEG with synchronous video across six timepoints from 3 to 12 months, spanning a pre-symptomatic baseline, an acute kainic-acid challenge, and progression to end-stage. Using a pre-specified, false discovery rate-controlled framework with per-timepoint and mixed-effects trajectory testing, we identified a biphasic trajectory of network dysfunction most clearly expressed during REM sleep. Relative beta power was elevated in knockout mice during the acute phase (4 months; REM Cohen’s d = 1.27, wake d = 1.26) and reduced at end-stage (12 months; REM d = −1.66, wake d = −1.61); this sign reversal was supported by per-timepoint testing in both directions and by cluster-robust mixed-effects modelling (interaction p = 0.048). REM theta/delta ratio was acutely elevated at challenge (d = 1.97) and REM relative theta remained elevated through 9 months (d = 1.76). Sleep architecture showed a progressive bias toward entering REM from NREM (12 months d = 3.85). In direct contrast to SOD1 and FUS models, C9orf72-knockout mice showed no cortical theta-gamma PAC deficit during REM at any timepoint, establishing a genotype-specific network divergence. A behavioural battery at 10 months revealed multi-domain impairment in knockout mice, with significantly reduced grip strength (d = −1.23) and cued fear freezing (d = −1.84) and large-effect reductions in recognition memory and locomotion; the modest phenotyped sample precluded robust individual-level coupling between specific network features and behaviour. These findings identify REM sleep as a sensitive window onto C9orf72 network dysfunction and reveal a genotype-specific, biphasic trajectory compatible with the hyperexcitable-to-hypoexcitable transition of human ALS, with consequences for stratified biomarker development.</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defined by the progressive loss of upper and lower motor neurons, with death typically occurring within two to five years of symptom onset. A unifying physiological feature across both sporadic and familial forms is cortical hyperexcitability, which precedes the onset of motor symptoms, correlates negatively with survival, and is sufficient to trigger neurodegeneration in rodent models. The ability to detect and track this network dysfunction non-invasively would be of substantial value for early diagnosis, patient stratification, and the monitoring of therapeutic response — needs that are especially acute in a disease whose clinical heterogeneity delays diagnosis and complicates trial design.</w:t>
      </w:r>
    </w:p>
    <w:p>
      <w:pPr>
        <w:spacing w:after="160" w:line="276"/>
      </w:pPr>
      <w:r>
        <w:t xml:space="preserve">Hexanucleotide repeat expansion in C9orf72 is the most common genetic cause of both ALS and frontotemporal dementia, accounting for a substantial fraction of familial and a meaningful proportion of apparently sporadic cases. [TODO insert precise prevalence figures with citation.] Despite this prominence, the network-level electrophysiology of C9orf72-mediated disease remains comparatively underexplored. Most of what is known about ALS cortical network dysfunction derives from the SOD1 and FUS models, in which recent work established a deficit in theta-gamma phase-amplitude coupling (PAC) as a traceable readout of cortical hyperexcitability, present from pre-symptomatic stages, correlated with the rate of disease progression in patients, and linked mechanistically to a deficiency of cortical noradrenaline [ref: Scekic-Zahirovic et al. 2024]. In sporadic ALS patients this signature has been further characterized as frequency-specific and lateralized: theta-gamma PAC is selectively reduced in the dominant (typically left) sensorimotor cortex, with alpha-gamma and beta-gamma coupling and band power unchanged, and with diagnostic performance exceeding that of diffusion MRI [ref: Benetton et al. 2025]. The signature against which a new model must be compared is therefore well defined — a specific, NA-linked, dominant-hemisphere theta-gamma cortical deficit. These are predominantly gain-of-function models. C9orf72 disease, by contrast, combines repeat-associated gain-of-function toxicity with loss of C9orf72 protein function, the latter affecting autophagy and immune regulation. The C9orf72-knockout model isolates the loss-of-function component, allowing its specific contribution to network pathophysiology to be examined. Because the genetic subtypes of ALS engage partly distinct molecular pathways, the network phenotypes they produce may also differ; whether the SOD1/FUS coupling signature is a universal correlate of ALS cortical dysfunction or a subtype-specific one is unknown, and the answer bears directly on whether a network biomarker calibrated in one genetic context can be expected to transfer to another.</w:t>
      </w:r>
    </w:p>
    <w:p>
      <w:pPr>
        <w:spacing w:after="160" w:line="276"/>
      </w:pPr>
      <w:r>
        <w:t xml:space="preserve">Sleep provides a particularly informative window onto cortical network state. Distinct vigilance states impose characteristic oscillatory regimes, and REM sleep in rodents is marked by prominent theta and gamma activity that depends sensitively on the balance of excitation and inhibition; it is also a state in which several neuromodulatory systems that normally constrain cortical excitability are at their lowest tone. Disruption of sleep architecture and of state-specific oscillatory dynamics is increasingly recognized as an early feature of neurodegeneration. We reasoned that a longitudinal, state-resolved analysis of the EEG — rather than a single cross-sectional snapshot — would be best placed to reveal how network function evolves across the C9orf72 disease course, and that REM sleep in particular might expose latent network abnormalities.</w:t>
      </w:r>
    </w:p>
    <w:p>
      <w:pPr>
        <w:spacing w:after="160" w:line="276"/>
      </w:pPr>
      <w:r>
        <w:t xml:space="preserve">Here we report such a study. We recorded EEG from hippocampal and cortical electrodes, with synchronous video, in C9orf72-knockout mice and wild-type littermates across six timepoints from 3 to 12 months, encompassing a pre-symptomatic baseline, an acute kainic-acid challenge intended to probe network vulnerability, and progression toward end-stage. Using a pre-specified, false discovery rate-controlled analytic framework complemented by mixed-effects trajectory modelling and analysis of sleep-state transition dynamics, we asked three questions: whether and how network function changes across the disease course; whether such changes are state-specific; and whether the theta-gamma PAC signature reported in other ALS models is present in C9orf72 disease. We find a biphasic trajectory of network dysfunction concentrated in REM sleep, and — in contrast to SOD1 and FUS models — no cortical theta-gamma PAC deficit, together defining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hd w:fill="FFF2CC" w:val="clear"/>
        <w:spacing w:after="160" w:line="276"/>
      </w:pPr>
      <w:r>
        <w:rPr>
          <w:i/>
          <w:iCs/>
          <w:color w:val="7F6000"/>
        </w:rPr>
        <w:t xml:space="preserve">[TODO] Confirm exact numbers, sex distribution, housing, ethics protocol number.</w:t>
      </w:r>
    </w:p>
    <w:p>
      <w:pPr>
        <w:spacing w:after="160" w:line="276"/>
      </w:pPr>
      <w:r>
        <w:t xml:space="preserve">C9orf72-knockout mice and wild-type littermates were studied. A total of [N] animals contributed data ([N] knockout, [N] wild-type). Animals were maintained under a [12:12] light-dark cycle with food and water available ad libitum. All procedures were approved by the [institutional animal care committee, protocol number TODO] and conformed to [relevant national guidelines]. Sample size was based on [rationale TODO]. Experimenters were blinded to genotype during recording, sleep-state scoring, event detection, and analysis; genotype was unblinded only for final statistical comparison.</w:t>
      </w:r>
    </w:p>
    <w:p>
      <w:pPr>
        <w:pStyle w:val="Heading2"/>
      </w:pPr>
      <w:r>
        <w:t xml:space="preserve">Animal flow and attrition</w:t>
      </w:r>
    </w:p>
    <w:p>
      <w:pPr>
        <w:shd w:fill="FFF2CC" w:val="clear"/>
        <w:spacing w:after="160" w:line="276"/>
      </w:pPr>
      <w:r>
        <w:rPr>
          <w:i/>
          <w:iCs/>
          <w:color w:val="7F6000"/>
        </w:rPr>
        <w:t xml:space="preserve">[TODO] Provide a CONSORT-style flow account and corresponding supplementary figure.</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Two-channel EEG was recorded from a hippocampal (CA3) electrode and a parietal sensorimotor cortical electrode (S1/PtA), sampled at [original rate TODO] Hz and stored in Axon Binary Format, with synchronous video for behavioural annotation and movement quantification. Electrodes targeted right CA3 (AP −2.5, ML +3.0, DV −3.0 mm from bregma) and left S1/PtA (AP −2.0, ML −2.0, DV −1.5 mm), with a frontal reference (AP +1.0, ML +1.0, DV −0.5 mm). The cortical site is parietal sensorimotor cortex and is anatomically distinct from primary motor cortex (M1); this distinction is relevant to interpretation and is examined in detail in a companion study of circuit-specific dissociation [ref: companion paper]. Recordings were obtained at six timepoints: 3 months (pre-symptomatic baseline, before kainic-acid administration), 4 months (the kainic-acid challenge day), and 6, 7, 9, and 12 months. Signals were down-sampled to 500 Hz after anti-alias decimation and segmented into 4-second epochs.</w:t>
      </w:r>
    </w:p>
    <w:p>
      <w:pPr>
        <w:pStyle w:val="Heading2"/>
      </w:pPr>
      <w:r>
        <w:t xml:space="preserve">Kainic-acid challenge</w:t>
      </w:r>
    </w:p>
    <w:p>
      <w:pPr>
        <w:shd w:fill="FFF2CC" w:val="clear"/>
        <w:spacing w:after="160" w:line="276"/>
      </w:pPr>
      <w:r>
        <w:rPr>
          <w:i/>
          <w:iCs/>
          <w:color w:val="7F6000"/>
        </w:rPr>
        <w:t xml:space="preserve">[TODO] Dose, route, timing relative to recording.</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using relative band-power criteria. Wake was defined by high signal variance or elevated fast-frequency (beta/gamma) activity; REM by theta-dominant, low-delta, low-amplitude activity (relative theta above the median, relative delta below the median, total variance below the 75th percentile); NREM by delta-dominant activity. The approach was applied identically to all recordings and yielded biologically plausible state distributions (REM [20–32]% of epochs per recording). Classification was based on EEG features rather than concurrent electromyography, a limitation considered in the Discussion. State percentages were computed per recording, and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hd w:fill="FFF2CC" w:val="clear"/>
        <w:spacing w:after="160" w:line="276"/>
      </w:pPr>
      <w:r>
        <w:rPr>
          <w:i/>
          <w:iCs/>
          <w:color w:val="7F6000"/>
        </w:rPr>
        <w:t xml:space="preserve">[TODO] Describe the behavioural battery, administered at 10 months of age: novel object recognition (discrimination index), open field (distance, centre time, rearing, velocity), fear conditioning (cued and contextual freezing), grip strength (forelimb, hindlimb, body-weight-normalized composite). State apparatus, protocols, scoring, and blinding.</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hd w:fill="FFF2CC" w:val="clear"/>
        <w:spacing w:after="160" w:line="276"/>
      </w:pPr>
      <w:r>
        <w:rPr>
          <w:i/>
          <w:iCs/>
          <w:color w:val="7F6000"/>
        </w:rPr>
        <w:t xml:space="preserve">[TODO] Once behavioural and histological data are integrated: state correlation methods, e.g. Spearman of per-animal EEG features against behavioural scores and PV measures, with FDR correction.</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representing [20–32]% of epochs per recording, enabling state-resolved spectral analysis throughout the disease course and supporting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This biphasic course — elevated beta activity during the acute phase giving way to reduced beta activity at end-stage — is compatible with the hyperexcitable-to-hypoexcitable transition described in human ALS, here observed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 a distinction made explicit by the joint per-timepoint and trajectory analyses.</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Because theta-gamma PAC has been established as a cortical hyperexcitability readout in SOD1 and FUS models — and characterized in sporadic ALS patients as a frequency-specific, dominant-hemisphere deficit confined to theta-gamma coupling — we tested directly for this signature in C9orf72-knockout mice, matching the published methodology in coupling bands, vigilance state, recording site, and pre-symptomatic timepoint (Fig. 5). Our cortical electrode was positioned over left (dominant-side) sensorimotor cortex, the same region in which the human deficit is maximal, so that a null result here reflects the absence of the signature at the site where it should be most detectable rather than sampling of an unaffected region. Contrary to the pattern reported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establishing that the absence is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 a direction that would tend to depress rather than inflate a coupling estimate. The preserved coupling despite reduced gamma amplitude indicates the null is conservative and not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but duration was, underscoring the value of event-level over count-level metrics. At 7 months, CA3-S1/PtA delta coherence was reduced in knockout mice (d = −1.28; confidence interval excluding zero), and circuit dissociation between the hippocampal and sensorimotor cortical channels increased progressively with age in knockout but not wild-type animals (knockout decorrelation trajectory ρ = 0.43, p = 0.007; wild-type ρ = 0.06, not significant), consistent with a developing functional disconnection between the two structures; the spatial structure of this sensorimotor-versus-hippocampal divergence is characterized in detail in a companion study [ref: companion paper]. In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To assess whether the network features distinguish genotype at the level of individual animals — the property that separates a biomarker from a group difference —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We note two limitations made explicit by cross-validation: the end-stage (12-month) beta reduction, although directionally consistent, did not reach a defensible out-of-sample classification (AUC = 0.69; permutation p = 0.11; n = 8) and is therefore reported as a trajectory rather than a standalone classifier; and the 3-month aperiodic exponent, while a strong longitudinal predictor of later complexity, did not classify genotype out-of-sample and is interpreted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Synchronous video confirms that REM-classified epochs are behaviourally quiescent</w:t>
      </w:r>
    </w:p>
    <w:p>
      <w:pPr>
        <w:spacing w:after="160" w:line="276"/>
      </w:pPr>
      <w:r>
        <w:t xml:space="preserve">Because vigilance states were defined from EEG without electromyography, we used the synchronous video to test the principal concern for EMG-free staging: that theta-rich, low-delta epochs labelled REM might instead be active, exploratory wakefulness. Per-epoch movement was quantified as frame-to-frame video motion energy and aligned to the EEG epochs. Three convergent results support the REM classification. First, REM occupied a physiological fraction of recording time (6.7\u201311.6% of total epochs; ~20\u201329% of sleep), consistent with normal mouse REM and inconsistent with substantial active-wake inflation. Second, of the epochs the classifier labelled REM, 94.8% were behaviourally immobile, the highest immobile fraction of any state (REM 95%, NREM 90%, wake 89% immobile); REM motion was significantly lower than wake (Mann-Whitney p &lt; 0.001) and, as expected for the state with the most complete atonia, was the lowest of the three states. Because average wake motion is dominated by quiet rest, the most informative contrast is with active wake specifically: REM motion was far below the high-movement (active) wake epochs that constitute the actual confound. Third, the staging reproduced canonical sleep architecture \u2014 REM was rarely entered directly from wake (wake\u2192REM transition probability 0.07), showed self-maintenance, and had physiological bout durations \u2014 and hippocampal CA3 theta was greatest during REM, with a ~6.5 Hz peak characteristic of rodent REM theta (CA3 theta/delta REM vs wake Cohen\u2019s d = +0.36). Together these analyses indicate that the EEG-defined REM state is immobile, theta-dominant, hippocampally appropriate, and transitionally consistent with physiological REM, rather than misclassified active wakefulness; the formal limitation that video immobility is a surrogate for, not a direct measurement of, muscle atonia is noted in the Discussion.</w:t>
      </w:r>
    </w:p>
    <w:p>
      <w:pPr>
        <w:spacing w:after="160" w:line="276"/>
      </w:pPr>
      <w:r>
        <w:t xml:space="preserve">To test whether the cortical network retained its normal relationship to behaviour, we used the synchronous video to quantify corticomotor predictive coupling \u2014 the degree to which cortical beta-band activity in one epoch predicted movement in the next \u2014 at every timepoint. Because each animal contributed many video epochs (median 10 recordings per animal, range 1\u201345), analyses were collapsed to a single coupling value per animal per timepoint and genotypes compared with the animal as the unit of replication. At this level, predictive coupling did not differ between knockout and wild-type mice at any timepoint (3m d = 0.03; 4m d = 0.39; 6m d = \u22120.87; 7m d = \u22120.38; 9m d = 0.58; 12m d = 1.20; all p &gt; 0.10, none surviving false discovery rate correction). The preservation of corticomotor coupling, in the same animals and timepoints in which REM network dynamics were markedly abnormal, indicates that the C9orf72 phenotype reported here is specific to sleep-state network organization rather than reflecting a global breakdown of the relationship between cortical activity and behaviour. We note that an epoch-level analysis, which treats each video frame-pair as independent, yields an apparently significant end-stage difference; this is an artifact of pseudoreplication (thousands of within-animal epochs inflating the effective sample size) and does not hold once the animal is treated as the unit of analysis, underscoring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 between the 9- and 12-month EEG sessions —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notably, the reduction in cued freezing occurred despite — not because of — reduced general locomotion, since hypoactivity would be expected to increase rather than decrease freezing.</w:t>
      </w:r>
    </w:p>
    <w:p>
      <w:pPr>
        <w:spacing w:after="160" w:line="276"/>
      </w:pPr>
      <w:r>
        <w:t xml:space="preserve">We then tested the pre-specified hypotheses linking individual EEG features to behavioural performance, namely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and the two specific predictions were not individually significant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identified scattered associations between progressive-stage EEG measures and behaviour — for example 9-month REM signal-complexity measures with grip strength (Lempel–Ziv complexity ρ = −0.79, p = 0.006; spectral entropy ρ = 0.71, p = 0.022) — but at these sample sizes individual coefficients are unstable, were not pre-registered, and none survive correction; they are reported only as hypothesis-generating. The behavioural data therefore establish that the C9orf72-knockout model is functionally impaired across motor and cognitive domains at the progressive stage, while the modest behavioural sample precludes robust individual-level coupling between specific network features and behavioural scores; the latter would require a substantially larger phenotyped cohort and is identified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 providing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 elevated in knockout mice during the acute challenge phase and reduced at end-stage —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most conceptually consequential result is comparative.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 its absence in the knockout is thus unlikely to reflect insufficient sensitivity of the measure. One difference in state should be stated plainly: the human PAC findings derive from resting wakefulness with eyes closed, whereas our strongest mouse measures are in REM sleep; we therefore do not claim to have tested the human deficit in its human state, but rather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 REM theta dominance and biphasic beta-band change, in the absence of a cortical PAC deficit —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The concentration of findings in REM sleep is notable: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Several findings point toward a thalamocortical and circuit-level substrate. Reduced sleep-spindle duration at the pre-symptomatic baseline, without a change in spindle rate, indicates an early alteration of thalamocortical spindle generation; the reduced CA3-S1/PtA delta coherence and the progressively increasing hippocampal-sensorimotor decorrelation in knockout animals indicate a developing functional disconnection between the structures; and the prospective relationship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 the within-animal longitudinal design and the mixed-effects modelling mitigate but do not eliminate this concern. Sleep-state classification used relative band-power criteria rather than concurrent electromyography; although synchronous video confirmed that REM-classified epochs were behaviourally quiescent, occurred at physiological frequency, arose with appropriate sleep architecture, and carried the expected hippocampal theta signature, video immobility is a surrogate for rather than a direct measurement of muscle atonia, and the staging lacks the full specificity of polysomnography.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790825"/>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(Cohen\u2019s d, knockout \u2212 wild-type) trajectory and bootstrap confidence intervals (right). (B, below) Mixed-effects genotype \u00D7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CA3\u2013S1/PtA decorrelation (1 \u2212 Spearman \u03c1) across timepoints; knockout mice show progressively increasing hippocampal-cortical decorrelation (\u03c1 = 0.43, p = 0.007) whereas the wild-type trajectory is flat, indicating a developing functional disconnection.</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Full feature-by-timepoint comparisons treating each recording session as the unit of analysis, with group means, Cohen\u2019s d and 95% confidence intervals, and raw and FDR-adjusted p-values.</w:t>
      </w:r>
    </w:p>
    <w:p>
      <w:pPr>
        <w:spacing w:after="160" w:line="276"/>
      </w:pPr>
      <w:r>
        <w:rPr>
          <w:b/>
          <w:bCs/>
        </w:rPr>
        <w:t xml:space="preserve">Table S2. Mixed-effects models. </w:t>
      </w:r>
      <w:r>
        <w:t xml:space="preserve">Complete genotype \u00D7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\u00B1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 [To be inserted from results CSV.]</w:t>
      </w:r>
    </w:p>
    <w:p>
      <w:pPr>
        <w:shd w:fill="E2EFDA" w:val="clear"/>
        <w:spacing w:after="160" w:line="276"/>
      </w:pPr>
      <w:r>
        <w:rPr>
          <w:i/>
          <w:iCs/>
          <w:color w:val="375623"/>
        </w:rPr>
        <w:t xml:space="preserve">[PLACEHOLDER] Awaiting the session-level results CSV (feature \u00D7 timepoint, treating each recording session as the unit) to populate this table with exact group means, Cohen\u2019s d [95% CI], and raw/FDR p-values.</w:t>
      </w:r>
    </w:p>
    <w:p>
      <w:pPr>
        <w:spacing w:after="60" w:before="200"/>
      </w:pPr>
      <w:r>
        <w:rPr>
          <w:b/>
          <w:bCs/>
        </w:rPr>
        <w:t xml:space="preserve">Table S2. Mixed-effects genotype \u00D7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\u00D7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NREM\u2192REM probability and REM\u2192NREM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 [To be inserted from results CSV.]</w:t>
      </w:r>
    </w:p>
    <w:p>
      <w:pPr>
        <w:shd w:fill="E2EFDA" w:val="clear"/>
        <w:spacing w:after="160" w:line="276"/>
      </w:pPr>
      <w:r>
        <w:rPr>
          <w:i/>
          <w:iCs/>
          <w:color w:val="375623"/>
        </w:rPr>
        <w:t xml:space="preserve">[PLACEHOLDER] Awaiting the secondary-timepoint results CSV (6- and 7-month feature comparisons) to populate exact values.</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bl>
    <w:p>
      <w:pPr>
        <w:shd w:fill="E2EFDA" w:val="clear"/>
        <w:spacing w:after="160" w:line="276"/>
      </w:pPr>
      <w:r>
        <w:rPr>
          <w:i/>
          <w:iCs/>
          <w:color w:val="375623"/>
        </w:rPr>
        <w:t xml:space="preserve">[PLACEHOLDER] In-sample AUCs and the permutation p-value for the strongest classifier are exact (from the ROC and permutation analyses). The leave-one-out, k-fold, and remaining permutation columns (dashes) will be filled from the cross-validation results CSV so the reported values are exact rather than read from the forest-plot figure.</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(Cohen\u2019s d, knockout \u2212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pacing w:after="60" w:before="200"/>
      </w:pPr>
      <w:r>
        <w:rPr>
          <w:b/>
          <w:bCs/>
        </w:rPr>
        <w:t xml:space="preserve">Table S7. Validation of EEG-defined REM against synchronous video.</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3000"/>
      </w:tblGrid>
      <w:tr>
        <w:trPr>
          <w:tblHeader/>
        </w:trPr>
        <w:tc>
          <w:tcPr>
            <w:tcW w:type="dxa" w:w="3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Validation metric</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Value</w:t>
            </w:r>
          </w:p>
        </w:tc>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Expected / interpretation</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total epochs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6.7\u201311.6%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mouse REM (~5\u201310%)</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 of sleep</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~20\u201329%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epochs immobile (video)</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94.8%</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highest of any state \u2192 not active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 Wake immobile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90% / 89%</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is the most immobile state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vs wake motion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\u22120.27, p &lt; 0.001</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significantly less mobile than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Wake\u2192REM transition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0.07</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low; REM rarely entered from wake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self-maintenance prob.</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physiological REM persistence</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 peak (REM)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~6.5 Hz</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canonical rodent REM theta</w:t>
            </w:r>
          </w:p>
        </w:tc>
      </w:tr>
      <w:tr>
        <w:tc>
          <w:tcPr>
            <w:tcW w:type="dxa" w:w="3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CA3 theta/delta, REM vs wake</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 = +0.36</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hippocampal theta greatest in REM</w:t>
            </w:r>
          </w:p>
        </w:tc>
      </w:tr>
    </w:tbl>
    <w:p>
      <w:pPr>
        <w:spacing w:after="160" w:line="276"/>
      </w:pPr>
      <w:r>
        <w:t xml:space="preserve">Per-epoch video motion energy and hippocampal signatures for the validation subset (knockout and wild-type at 3, 9, and 12 months). REM epochs classified from EEG were behaviourally immobile at physiological frequency, were rarely entered from wakefulness, and carried canonical hippocampal theta, indicating that the EEG-defined REM state is not misclassified active wakefulness. Because mean wake motion is diluted by quiet rest, the genotype-blind contrast with active (high-movement) wake is reported in Fig. S7. [Values to be updated from the full-cohort run.]</w:t>
      </w:r>
    </w:p>
    <w:p>
      <w:pPr>
        <w:shd w:fill="FFF2CC" w:val="clear"/>
        <w:spacing w:after="160" w:line="276"/>
      </w:pPr>
      <w:r>
        <w:rPr>
          <w:i/>
          <w:iCs/>
          <w:color w:val="7F6000"/>
        </w:rPr>
        <w:t xml:space="preserve">[TODO] Figure S1. Animal-flow diagram \u2014 CONSORT-style accounting of animals enrolled, contributing usable recordings at each timepoint, and lost to attrition, by genotype. Build from final animal numbers.</w:t>
      </w:r>
    </w:p>
    <w:p>
      <w:pPr>
        <w:spacing w:after="40" w:before="120"/>
        <w:jc w:val="center"/>
      </w:pPr>
      <w:r>
        <w:drawing>
          <wp:inline distT="0" distB="0" distL="0" distR="0">
            <wp:extent cx="43815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180022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(Cohen\u2019s d, knockout \u2212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16192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p>
      <w:pPr>
        <w:spacing w:after="80"/>
      </w:pPr>
      <w:r>
        <w:rPr>
          <w:i/>
          <w:iCs/>
          <w:color w:val="AA0000"/>
        </w:rPr>
        <w:t xml:space="preserve">[missing figure: sleep_state_validation_motion.png]</w:t>
      </w:r>
    </w:p>
    <w:p>
      <w:pPr>
        <w:spacing w:after="160" w:line="276"/>
      </w:pPr>
      <w:r>
        <w:rPr>
          <w:b/>
          <w:bCs/>
        </w:rPr>
        <w:t xml:space="preserve">Figure S7. Validation of EEG-defined REM using synchronous video. </w:t>
      </w:r>
      <w:r>
        <w:t xml:space="preserve">Left: video motion energy (an electromyography surrogate) by vigilance state; REM-classified epochs are as immobile as NREM and below active wakefulness, with 94.8% of REM epochs behaviourally immobile. Right: per-epoch hippocampal CA3 theta/delta against cortical delta/theta ratio, coloured by motion energy; the REM cluster shows high CA3 theta and low movement. Together with physiological REM proportion, low wake-to-REM transition probability, and a ~6.5 Hz CA3 theta peak, these confirm that the EEG-defined REM state is behaviourally quiescent and hippocampally appropriate rather than misclassified active wake.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95c47290f7d168076d3654dd01f10405219b14.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image" Target="media/7900b4542e1430a9a6abb9d6800df07e05430ca9.png"/><Relationship Id="rId16" Type="http://schemas.openxmlformats.org/officeDocument/2006/relationships/image" Target="media/7e0e98b61c09d66a27f8b2ca48055ed0390e5773.png"/><Relationship Id="rId17" Type="http://schemas.openxmlformats.org/officeDocument/2006/relationships/image" Target="media/8fb8b24ce089f327b515af2bc59bc8c205837a39.png"/><Relationship Id="rId18" Type="http://schemas.openxmlformats.org/officeDocument/2006/relationships/image" Target="media/8b21ee860393a0ff7cbd441edf8ee86e26816587.png"/><Relationship Id="rId19" Type="http://schemas.openxmlformats.org/officeDocument/2006/relationships/image" Target="media/1e6e0c57196579f79f6c4c07cc0f7a3a589a7b49.png"/><Relationship Id="rId20" Type="http://schemas.openxmlformats.org/officeDocument/2006/relationships/image" Target="media/cff865c28d23764de1583429c88dadd727b3b347.png"/><Relationship Id="rId21" Type="http://schemas.openxmlformats.org/officeDocument/2006/relationships/image" Target="media/ced7384e2c4a646bab810eddad7c9b439f4752e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2026-06-18T18:38:45.811Z</dcterms:created>
  <dcterms:modified xsi:type="dcterms:W3CDTF">2026-06-18T18:38:45.812Z</dcterms:modified>
</cp:coreProperties>
</file>

<file path=docProps/custom.xml><?xml version="1.0" encoding="utf-8"?>
<Properties xmlns="http://schemas.openxmlformats.org/officeDocument/2006/custom-properties" xmlns:vt="http://schemas.openxmlformats.org/officeDocument/2006/docPropsVTypes"/>
</file>