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one of the more reliable physiological markers in amyotrophic lateral sclerosis (ALS). It appears before symptoms and tracks how fast the disease progresses. Almost everything we know about the network signatures used to follow it, however, comes from SOD1 and FUS models. In those models a deficit in theta-gamma phase-amplitude coupling (PAC), tied to noradrenaline depletion, marks cortical hyperexcitability. In sporadic patients the same deficit is frequency-specific and confined to the dominant sensorimotor cortex. It is not known whether any of this carries over to C9orf72-mediated disease. That gap matters. C9orf72 is the commonest genetic cause of ALS and frontotemporal dementia, and it is mechanistically distinct in that it involves loss of C9orf72 function. Whether one network biomarker can serve a genetically mixed patient population depends on the answer. We recorded hippocampal (CA3) and parietal sensorimotor (S1/PtA) cortical EEG, with synchronous video, in C9orf72-knockout mice and wild-type littermates at six timepoints from 3 to 12 months. These spanned a pre-symptomatic baseline, an acute kainic-acid challenge, and the progression to end-stage. Analyses followed a pre-specified, false discovery rate-controlled plan with per-timepoint comparisons and mixed-effects trajectory modelling. The dominant finding was a biphasic trajectory of network dysfunction, clearest during REM sleep. Relative beta power was raised in knockout mice during the acute phase (4 months; REM Cohen’s d = 1.27, wake d = 1.26) and lowered at end-stage (12 months; REM d = −1.66, wake d = −1.61). Per-timepoint tests in both directions supported this reversal, as did a cluster-robust mixed-effects model (interaction p = 0.048). The REM theta/delta ratio rose sharply at challenge (d = 1.97), and REM relative theta stayed elevated through 9 months (d = 1.76). Sleep architecture drifted progressively toward entering REM directly from NREM (12 months d = 3.85). Unlike SOD1 and FUS mice, the knockouts showed no cortical theta-gamma PAC deficit during REM at any timepoint, a genotype-specific divergence. A behavioural battery at 10 months showed impairment across several domains in knockout mice: grip strength (d = −1.23) and cued fear freezing (d = −1.84) were significantly reduced, with large-effect reductions in recognition memory and locomotion. The small phenotyped sample meant we could not reliably link individual network features to behaviour at the level of single animals. Taken together, the data point to REM sleep as a sensitive window on C9orf72 network dysfunction. They describe a genotype-specific, biphasic trajectory that mirrors the hyperexcitable-to-hypoexcitable shift seen in human ALS, with implications for how network biomarkers are developed and stratified.</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in which upper and lower motor neurons are progressively lost; most patients die within two to five years of their first symptoms. One physiological feature recurs across both sporadic and familial forms: cortical hyperexcitability. It is present before motor symptoms appear, it correlates negatively with survival, and in rodent models it is on its own enough to set off neurodegeneration. Being able to detect and follow this network dysfunction non-invasively would help a great deal with early diagnosis, with sorting patients into meaningful subgroups, and with reading out whether a treatment is working. Those needs are particularly pressing in a disease whose clinical variability both delays diagnosis and makes trials hard to design.</w:t>
      </w:r>
    </w:p>
    <w:p>
      <w:pPr>
        <w:spacing w:after="160" w:line="276"/>
      </w:pPr>
      <w:r>
        <w:t xml:space="preserve">A hexanucleotide repeat expansion in C9orf72 is the single most common genetic cause of ALS and frontotemporal dementia, accounting for a large share of familial cases and a meaningful slice of apparently sporadic ones. [TODO insert precise prevalence figures with citation.] For all that prominence, the network-level electrophysiology of C9orf72 disease has had relatively little attention. Most of our picture of ALS cortical network dysfunction comes instead from SOD1 and FUS models. Recent work in those models established a deficit in theta-gamma phase-amplitude coupling (PAC) as a traceable readout of cortical hyperexcitability. The deficit is detectable from pre-symptomatic stages, it correlates with progression rate in patients, and it is mechanistically tied to a shortage of cortical noradrenaline [ref: Scekic-Zahirovic et al. 2024]. In sporadic patients the signature is sharper still. Theta-gamma PAC is selectively reduced in the dominant (usually left) sensorimotor cortex, while alpha-gamma and beta-gamma coupling and band power are unchanged, and its diagnostic performance beats diffusion MRI [ref: Benetton et al. 2025]. The benchmark a new model has to be measured against is therefore well specified: a frequency-specific, noradrenaline-linked, dominant-hemisphere theta-gamma deficit. But these are largely gain-of-function models. C9orf72 disease is different. It pairs repeat-associated gain-of-function toxicity with loss of the C9orf72 protein itself, which affects autophagy and immune regulation. A C9orf72-knockout isolates that loss-of-function arm, so its particular contribution to network pathophysiology can be looked at on its own. Different genetic subtypes of ALS recruit partly different molecular pathways, and there is no guarantee the network phenotypes line up. Whether the SOD1/FUS coupling signature is a universal correlate of ALS cortical dysfunction or a subtype-specific one is, at present, unknown. The answer speaks directly to whether a biomarker calibrated in one genetic background will transfer to another.</w:t>
      </w:r>
    </w:p>
    <w:p>
      <w:pPr>
        <w:spacing w:after="160" w:line="276"/>
      </w:pPr>
      <w:r>
        <w:t xml:space="preserve">Sleep is a particularly informative window onto cortical state. Each vigilance state imposes its own oscillatory regime, and in rodents REM sleep stands out for prominent theta and gamma activity that is exquisitely sensitive to the balance between excitation and inhibition. REM is also the state in which several neuromodulatory systems that normally keep cortical excitability in check fall to their lowest tone. Disrupted sleep architecture and altered state-specific oscillations are increasingly recognized as early signs of neurodegeneration. We reasoned that following the EEG longitudinally and state by state, rather than taking a single cross-sectional snapshot, would give the best chance of seeing how network function evolves across the C9orf72 disease course, and that REM in particular might bring latent abnormalities to the surface.</w:t>
      </w:r>
    </w:p>
    <w:p>
      <w:pPr>
        <w:spacing w:after="160" w:line="276"/>
      </w:pPr>
      <w:r>
        <w:t xml:space="preserve">That is the study we report here. In C9orf72-knockout mice and wild-type littermates, we recorded EEG from hippocampal and cortical electrodes, with synchronous video, at six timepoints from 3 to 12 months: a pre-symptomatic baseline, an acute kainic-acid challenge meant to probe network vulnerability, and the slide toward end-stage. With a pre-specified, false discovery rate-controlled analysis, backed up by mixed-effects trajectory modelling and by analysis of sleep-state transitions, we set out to answer three questions. Does network function change across the disease course, and how? Are any such changes state-specific? And is the theta-gamma PAC signature seen in other ALS models present here? What we found was a biphasic trajectory of network dysfunction concentrated in REM sleep and, in contrast to the SOD1 and FUS models, no cortical theta-gamma PAC deficit. The two together mark out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pacing w:after="160" w:line="276"/>
      </w:pPr>
      <w:r>
        <w:t xml:space="preserve">All animal procedures were conducted in accordance with the Canadian Council on Animal Care and approved by the University of Toronto Animal Care Committee (UHN AUP 6436; MRAP AUP 20012840). C9orf72-knockout mice were generously provided by Dr Don Cleveland (University of California, San Diego) and Dr Clotilde Lagier-Tourenne (Harvard University) and were maintained on a C57BL/6 background (Charles River Laboratories); genotyping followed Jiang et al. (2016). Heterozygous C9orf72 mice were crossed with wild-type mice and the resulting heterozygotes intercrossed to generate wild-type (WT), heterozygous (C9-HET), and homozygous-knockout (C9-KO) littermates. Animals were housed under standard conditions (≤5 same-sex mice per cage) on a 12-h light/12-h dark cycle (lights on 07:00) with food and water ad libitum. Sex was recorded for all animals; balanced male/female representation was achieved only in selected experiments, so sex-specific analyses were performed only where numbers permitted. For the electrophysiological study reported here, C9-HET mice were not included, because prior behavioural seizure analyses showed no significant difference between C9-HET and WT animals; to limit animal use, EEG was therefore restricted to the WT and C9-KO genotypes, which exhibited clearly distinct phenotypes. Experimenters were blinded to genotype during recording, sleep-state scoring, event detection, and analysis; genotype was unblinded only for final statistical comparison.</w:t>
      </w:r>
    </w:p>
    <w:p>
      <w:pPr>
        <w:pStyle w:val="Heading2"/>
      </w:pPr>
      <w:r>
        <w:t xml:space="preserve">Animal flow and attrition</w:t>
      </w:r>
    </w:p>
    <w:p>
      <w:pPr>
        <w:spacing w:after="160" w:line="276"/>
      </w:pPr>
      <w:r>
        <w:t xml:space="preserve">Animals were implanted and entered the longitudinal protocol at 3 months of age (wild-type n = 9, knockout n = 9). Continuous 24-hour EEG with synchronous video was then acquired at 3, 4, 6, 7, 9, and 12 months. The number of animals contributing usable recordings declined with age, as expected for an end-stage neurodegeneration model: wild-type and knockout counts were 9/9 at 3 months, 8/8 at 4 and 6 months, 8/6 at 7 months, 6/4 at 9 months, and 4/4 at 12 months. The behavioural battery at 10 months was administered to the surviving cohort (wild-type n = 9, knockout n = 9; per-subtest n = 8–14 depending on the measure). The full flow is shown in Supplementary Fig. S1. The per-timepoint counts reported here reflect animals with usable, video-paired recordings at each session and are a lower bound on the number contributing EEG; final enrolment and attrition figures, together with reasons for loss at each stage, are to be reconciled against the master study log before submission [TODO: confirm against enrolment log].</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Bipolar electrode implantation followed Bin et al. (2017). At 3 months of age, C9-KO and WT mice were implanted with two pairs of polyamide-insulated twisted stainless-steel micro-electrodes (200 µm outer diameter; Plastics One). Electrodes were stereotaxically positioned in the right CA3 hippocampus (AP −2.5, ML +3.0, DV −3.0 mm from bregma) and the left contralateral parietal sensorimotor cortex (S1/PtA; AP −2.0, ML −2.0, DV −1.5 mm), with a reference electrode in the frontal region (AP +1.0, ML +1.0, DV −0.5 mm). The cortical site is parietal sensorimotor cortex and is anatomically distinct from primary motor cortex (M1); this distinction is examined in detail in a companion study of circuit-specific dissociation [ref: companion paper]. Electrodes were fixed with dental acrylic on a custom polystyrene baseplate as described (Bin et al., 2017; Liu et al., 2019, 2021).</w:t>
      </w:r>
    </w:p>
    <w:p>
      <w:pPr>
        <w:spacing w:after="160" w:line="276"/>
      </w:pPr>
      <w:r>
        <w:t xml:space="preserve">After one week of recovery, continuous 24-h EEG–video monitoring was performed with each mouse in a modified cage with food and water ad libitum. A slip-ring commutator (Digikey 1528-1152-ND) mounted atop the cage connected to the implanted electrodes via flexible cabling, permitting free movement without cable entanglement. Video was acquired at 20–25 frames per second (Logitech C615 webcam) under white light during the light phase and dim light during the dark phase. EEG and video were saved every 2 h; monitoring was briefly paused (10–30 min) for cage maintenance as needed. Recordings were obtained at six timepoints: 3 months (pre-symptomatic baseline, before kainic-acid administration), 4 months (the kainic-acid challenge day), and 6, 7, 9, and 12 months. EEG was stored in Axon Binary Format with synchronous video for behavioural annotation and movement quantification; signals were down-sampled to 500 Hz after anti-alias decimation and segmented into 4-second epochs for analysis.</w:t>
      </w:r>
    </w:p>
    <w:p>
      <w:pPr>
        <w:pStyle w:val="Heading2"/>
      </w:pPr>
      <w:r>
        <w:t xml:space="preserve">Kainic-acid challenge</w:t>
      </w:r>
    </w:p>
    <w:p>
      <w:pPr>
        <w:spacing w:after="160" w:line="276"/>
      </w:pPr>
      <w:r>
        <w:t xml:space="preserve">The kainic-acid assay followed Rizwan et al. (2019). A maximum tolerated dose of 20 mg/kg was established by structured dose-ranging in female C57BL/6 mice. At 4 months of age (one month after electrode implantation), mice received kainic acid (20 mg/kg i.p.; Alomone Labs) and EEG–video was recorded for 180 min. Seizure activity was scored every 3 min over 180 min using a modified Racine scale (Racine, 1972; Rizwan et al., 2019). The kainic-acid challenge serves in this study as a standardized excitotoxic stressor probing network reactivity at the 4-month timepoint.</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from cortical relative band-power features computed by Welch’s method, after exclusion of artefactual epochs (absolute amplitude &gt; 500 µV or near-flat signal). Within each recording, band powers and signal variance were z-scored. Wake was assigned to epochs with high signal variance (above the 75th percentile within recording) or elevated fast-frequency activity (beta or gamma z-score &gt; 1); REM to non-wake epochs that were theta-dominant and low-delta (delta/theta ratio below half the within-recording median, positive theta z-score, variance below the 75th percentile); and NREM to delta-dominant epochs (delta/theta above the median). Incorporating signal variance into wake detection provides a partial movement/arousal criterion that helps separate active wakefulness from REM. The approach was applied identically to all recordings and yielded biologically plausible state distributions (REM 7–12% of total recording time, ~20–29% of sleep). Because classification used EEG without concurrent electromyography, the resulting REM state was validated against synchronous video and sleep architecture (see Results and Fig. S7) and the limitation is considered in the Discussion.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pacing w:after="160" w:line="276"/>
      </w:pPr>
      <w:r>
        <w:t xml:space="preserve">A behavioural battery was administered at 10 months of age. Open-field activity was recorded for 10 min in a 100 × 100 cm arena and scored with ANY-maze (Stoelting), yielding total distance travelled, time in centre, centre/total ratio, time mobile, and mean speed. Grip strength (all four paws) was measured with a grip-strength meter (Bioseb BIO-GT3) as the peak force over three averaged trials. Novel object recognition followed Alfieri et al. (2016): after four daily habituation sessions, mice explored two identical objects (phase I, 10 min) and, 1 h later, one familiar and one novel object (phase II, 5 min); exploration was scored from video (ODLog 2), and the memory/discrimination index was computed as (novel − familiar)/(novel + familiar) exploration time. Fear conditioning used Freeze Monitor chambers (San Diego Instruments) over three days: conditioning in context A with a tone co-terminating with two 0.6 mA foot shocks (day 1), contextual testing in context A without tone (day 2), and cued testing in context B with tone (day 3); percent freezing (absence of movement except respiration, from beam breaks) indexed contextual and cued memory respectively. Rotarod was also performed (accelerating 4–40 rpm; mean latency to fall over the final three of seven trials). Behavioural scoring was performed blinded to genotype.</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pacing w:after="160" w:line="276"/>
      </w:pPr>
      <w:r>
        <w:t xml:space="preserve">Brain–behaviour and brain–histology relationships were assessed at the level of individual animals. Per-animal EEG features (for example REM relative theta and beta, theta/delta ratio, and signal-complexity measures at the relevant timepoint) were correlated with behavioural scores from the 10-month battery and, where available, with parvalbumin-interneuron measures, using Spearman rank correlation. Two relationships were pre-specified: 9-month REM theta against novel object recognition, and the 3-to-12-month beta change against grip strength. Because behaviour was assessed at 10 months without concurrent EEG, pre-specified features were tested against the nearest sessions (9 and 12 months). Correlations were computed within the behaviourally phenotyped subset (n = 8–14 depending on measure) and corrected for multiple comparisons with the Benjamini–Hochberg false discovery rate across the pre-specified set; exploratory correlations outside that set are reported uncorrected and identified as hypothesis-generating. Given the modest phenotyped sample, individual correlation coefficients are interpreted with caution and emphasis is placed on the group-level phenotype.</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at 7–12% of total recording time (~20–29% of sleep). This allowed state-resolved spectral analysis throughout the disease course and supported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Elevated beta during the acute phase gave way to reduced beta at end-stage. This biphasic course is compatible with the hyperexcitable-to-hypoexcitable transition described in human ALS, seen here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The joint per-timepoint and trajectory analyses make this distinction explicit.</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Theta-gamma PAC is an established cortical hyperexcitability readout in SOD1 and FUS models, and in sporadic ALS patients it is a frequency-specific, dominant-hemisphere deficit confined to theta-gamma coupling. We therefore tested directly for this signature in C9orf72-knockout mice, matching the published methodology in coupling bands, vigilance state, recording site, and pre-symptomatic timepoint (Fig. 5). Our cortical electrode sat over left (dominant-side) sensorimotor cortex, the region in which the human deficit is maximal, so a null result here reflects absence of the signature at the site where it should be most detectable rather than sampling of an unaffected region. Contrary to the pattern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This is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The absence is therefore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a direction that would tend to depress rather than inflate a coupling estimate. That coupling held up even as gamma amplitude fell tells us the null is conservative rather than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duration was not, which underscores the value of event-level over count-level metrics. At 7 months, CA3-S1/PtA delta coherence was reduced in knockout mice (d = −1.28; confidence interval excluding zero). Circuit dissociation between the hippocampal and sensorimotor cortical channels also rose progressively with age in knockout but not wild-type animals (knockout decorrelation trajectory ρ = 0.43, p = 0.007; wild-type ρ = 0.06, not significant). This points to a developing functional disconnection between the two structures; its spatial layout is characterized in a companion study [ref: companion paper]. There was also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We then asked whether the network features distinguish genotype at the level of individual animals. That is the property separating a biomarker from a group difference.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These were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Cross-validation made two limitations explicit. First, the end-stage (12-month) beta reduction, although directionally consistent, did not reach a defensible out-of-sample classification (AUC = 0.69; permutation p = 0.11; n = 8), so we report it as a trajectory rather than a standalone classifier. Second, the 3-month aperiodic exponent, while a strong longitudinal predictor of later complexity, did not classify genotype out-of-sample, and we interpret it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across the full cohort REM occupied a physiological fraction of recording time (7.0–10.3% of total epochs; ~21–29% of sleep) at every timepoint in both genotypes. That is consistent with normal mouse REM and argues against substantial active-wake inflation. Second, of the 20,436 epochs the classifier labelled REM, 91.6% were behaviourally immobile, the highest immobile fraction of any state (REM 92%, NREM 90%, wake 90% immobile). Average wake motion is dominated by quiet rest, so the diagnostic contrast is with active wakefulness specifically. When wake was split into quiet and active (the upper movement quartile), REM movement fell far below active wake (Cohen’s d = −1.28, Mann-Whitney p &lt; 10⁻⁸). That is the comparison that bears on the active-wake confound. REM itself sat marginally below quiet wake and NREM, the three sleep and quiet states being similarly immobile. Third, the staging reproduced canonical sleep architecture. REM was rarely entered directly from wake (wake→REM transition probability 0.07), it showed self-maintenance, and its bout durations were physiological. Hippocampal CA3 theta was greatest during REM, with a ~6.5 Hz peak characteristic of rodent REM theta (CA3 theta/delta REM vs wake Cohen’s d = +0.36). On every one of these measures the EEG-defined REM state behaves like real REM. It is immobile, theta-dominant, hippocampally appropriate, and entered through the expected route, not like misclassified active wakefulness. The one caveat, that video immobility stands in for muscle atonia rather than measuring it directly, is taken up in the Discussion.</w:t>
      </w:r>
    </w:p>
    <w:p>
      <w:pPr>
        <w:spacing w:after="160" w:line="276"/>
      </w:pPr>
      <w:r>
        <w:t xml:space="preserve">To test whether the cortical network retained its normal relationship to behaviour, we used the synchronous video to quantify corticomotor predictive coupling, the degree to which cortical beta-band activity in one epoch predicted movement in the next, at every timepoint. Because each animal contributed many video epochs (median 10 recordings per animal, range 1–45), analyses were collapsed to a single coupling value per animal per timepoint and genotypes compared with the animal as the unit of replication. At this level, predictive coupling did not differ between knockout and wild-type mice at any timepoint (3m d = 0.03; 4m d = 0.39; 6m d = −0.87; 7m d = −0.38; 9m d = 0.58; 12m d = 1.20; all p &gt; 0.10, none surviving false discovery rate correction). The preservation of corticomotor coupling, in the same animals and timepoints where REM network dynamics were markedly abnormal, indicates that the C9orf72 phenotype reported here is specific to sleep-state network organization. It does not reflect a global breakdown of the relationship between cortical activity and behaviour. An epoch-level analysis, which treats each video frame-pair as independent, does yield an apparently significant end-stage difference. This is an artifact of pseudoreplication: thousands of within-animal epochs inflate the effective sample size. It does not hold once the animal is the unit of analysis, which underscores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between the 9- and 12-month EEG sessions,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The reduction in cued freezing is telling: it occurred despite reduced general locomotion, not because of it, since hypoactivity would be expected to increase freezing rather than decrease it.</w:t>
      </w:r>
    </w:p>
    <w:p>
      <w:pPr>
        <w:spacing w:after="160" w:line="276"/>
      </w:pPr>
      <w:r>
        <w:t xml:space="preserve">We then tested the pre-specified hypotheses linking individual EEG features to behavioural performance: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The two specific predictions were not individually significant either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turned up scattered associations between progressive-stage EEG measures and behaviour, for example 9-month REM signal-complexity measures with grip strength (Lempel–Ziv complexity ρ = −0.79, p = 0.006; spectral entropy ρ = 0.71, p = 0.022). But at these sample sizes individual coefficients are unstable, they were not pre-registered, and none survive correction; we report them only as hypothesis-generating. The behavioural data therefore establish that the C9orf72-knockout model is functionally impaired across motor and cognitive domains at the progressive stage. The modest behavioural sample, however, precludes robust individual-level coupling between specific network features and behavioural scores. That would require a substantially larger phenotyped cohort, and we identify it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which would provide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elevated in knockout mice during the acute challenge phase and reduced at end-stage,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result with the widest implications is a comparative one.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Its absence in the knockout is thus unlikely to reflect insufficient sensitivity of the measure. One difference in state should be stated plainly. The human PAC findings come from resting wakefulness with eyes closed, whereas our strongest mouse measures are in REM sleep. We therefore do not claim to have tested the human deficit in its own state. What we show is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(REM theta dominance and biphasic beta-band change, in the absence of a cortical PAC deficit)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It is striking how much of the signal sat in REM sleep.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A few findings hint at a thalamocortical, circuit-level substrate. Reduced sleep-spindle duration at the pre-symptomatic baseline, with no change in spindle rate, points to an early alteration of thalamocortical spindle generation. The reduced CA3-S1/PtA delta coherence and the progressively increasing hippocampal-sensorimotor decorrelation in knockout animals indicate a developing functional disconnection between the structures. And the prospective link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838450"/>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(Cohen’s d, knockout − wild-type) trajectory and bootstrap confidence intervals (right). (B, below) Mixed-effects genotype ×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CA3–S1/PtA decorrelation (1 − Spearman ρ) across timepoints; knockout mice show progressively increasing hippocampal-cortical decorrelation (ρ = 0.43, p = 0.007) whereas the wild-type trajectory is flat, indicating a developing functional disconnection.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dd103fcc8d0b07cd1b6126848b2ade94166591d.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4e05b726c3926e2a1856cb88f3c9913af6dd9eb3.png"/><Relationship Id="rId14" Type="http://schemas.openxmlformats.org/officeDocument/2006/relationships/image" Target="media/3a9a264ba99e740391a4acb1352e2c222ffb695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2026-06-20T14:00:30.728Z</dcterms:created>
  <dcterms:modified xsi:type="dcterms:W3CDTF">2026-06-20T14:00:30.728Z</dcterms:modified>
</cp:coreProperties>
</file>

<file path=docProps/custom.xml><?xml version="1.0" encoding="utf-8"?>
<Properties xmlns="http://schemas.openxmlformats.org/officeDocument/2006/custom-properties" xmlns:vt="http://schemas.openxmlformats.org/officeDocument/2006/docPropsVTypes"/>
</file>