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sz w:val="28"/>
          <w:szCs w:val="28"/>
        </w:rPr>
        <w:t xml:space="preserve">Supplementary Materials: A biphasic trajectory of cortical and hippocampal network dysfunction during REM sleep in C9orf72-deficient mice</w:t>
      </w:r>
    </w:p>
    <w:p>
      <w:pPr>
        <w:pStyle w:val="Heading1"/>
      </w:pPr>
      <w:r>
        <w:t xml:space="preserve">Supplementary Materials</w:t>
      </w:r>
    </w:p>
    <w:p>
      <w:pPr>
        <w:spacing w:after="160" w:line="276"/>
      </w:pPr>
      <w:r>
        <w:t xml:space="preserve">Supplementary Methods. Expanded description of the sleep-state classification thresholds and the threshold-grid sensitivity procedure; the Tort modulation-index computation (phase and amplitude band definitions, bin count, surrogate normalization); the bias-corrected bootstrap confidence-interval procedure; the mixed-effects model specification and the cluster-robust sensitivity analysis; and the cross-validation and label-permutation procedures used for classification analysis.</w:t>
      </w:r>
    </w:p>
    <w:p>
      <w:pPr>
        <w:spacing w:after="160" w:line="276"/>
      </w:pPr>
      <w:r>
        <w:rPr>
          <w:b/>
          <w:bCs/>
        </w:rPr>
        <w:t xml:space="preserve">Table S1. Session-level sensitivity analysis (Scenario B). </w:t>
      </w:r>
      <w:r>
        <w:t xml:space="preserve">Headline feature comparisons treating each recording session as the unit of analysis, with group means, Cohen’s d, and raw and FDR-adjusted p-values.</w:t>
      </w:r>
    </w:p>
    <w:p>
      <w:pPr>
        <w:spacing w:after="160" w:line="276"/>
      </w:pPr>
      <w:r>
        <w:rPr>
          <w:b/>
          <w:bCs/>
        </w:rPr>
        <w:t xml:space="preserve">Table S2. Mixed-effects models. </w:t>
      </w:r>
      <w:r>
        <w:t xml:space="preserve">Complete genotype × time interaction results for all tested features, reporting the mixed-model p-value, the cluster-robust (by animal) p-value, the random-effect variance estimate, and the reported value (robust where the random-effect variance approached the boundary).</w:t>
      </w:r>
    </w:p>
    <w:p>
      <w:pPr>
        <w:spacing w:after="160" w:line="276"/>
      </w:pPr>
      <w:r>
        <w:rPr>
          <w:b/>
          <w:bCs/>
        </w:rPr>
        <w:t xml:space="preserve">Table S3. Sleep-state transition statistics. </w:t>
      </w:r>
      <w:r>
        <w:t xml:space="preserve">Full transition-probability, dwell-time, and transition-rate comparisons between genotypes at every timepoint, with effect sizes and FDR-adjusted p-values.</w:t>
      </w:r>
    </w:p>
    <w:p>
      <w:pPr>
        <w:spacing w:after="160" w:line="276"/>
      </w:pPr>
      <w:r>
        <w:rPr>
          <w:b/>
          <w:bCs/>
        </w:rPr>
        <w:t xml:space="preserve">Table S4. Secondary timepoint analyses (6 and 7 months). </w:t>
      </w:r>
      <w:r>
        <w:t xml:space="preserve">Exploratory feature comparisons at the timepoints not included in the pre-specified primary analysis.</w:t>
      </w:r>
    </w:p>
    <w:p>
      <w:pPr>
        <w:spacing w:after="160" w:line="276"/>
      </w:pPr>
      <w:r>
        <w:rPr>
          <w:b/>
          <w:bCs/>
        </w:rPr>
        <w:t xml:space="preserve">Table S5. Cross-validated classification performance. </w:t>
      </w:r>
      <w:r>
        <w:t xml:space="preserve">For each headline feature: in-sample AUC, leave-one-out cross-validated AUC, repeated stratified k-fold AUC (mean ± SD), and label-permutation p-value.</w:t>
      </w:r>
    </w:p>
    <w:p>
      <w:pPr>
        <w:spacing w:after="160" w:line="276"/>
      </w:pPr>
      <w:r>
        <w:rPr>
          <w:b/>
          <w:bCs/>
        </w:rPr>
        <w:t xml:space="preserve">Table S6. Staging-threshold sensitivity grid. </w:t>
      </w:r>
      <w:r>
        <w:t xml:space="preserve">Genotype effect size and significance for each headline REM feature across all 81 threshold combinations of the band-power classifier.</w:t>
      </w:r>
    </w:p>
    <w:p>
      <w:pPr>
        <w:pStyle w:val="Heading1"/>
      </w:pPr>
      <w:r>
        <w:t xml:space="preserve">Supplementary Tables</w:t>
      </w:r>
    </w:p>
    <w:p>
      <w:pPr>
        <w:spacing w:after="60" w:before="200"/>
      </w:pPr>
      <w:r>
        <w:rPr>
          <w:b/>
          <w:bCs/>
        </w:rPr>
        <w:t xml:space="preserve">Table S1. Session-level sensitivity analysis (Scenario B).</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100"/>
        <w:gridCol w:w="1100"/>
        <w:gridCol w:w="1200"/>
        <w:gridCol w:w="1000"/>
        <w:gridCol w:w="10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Timepoint</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Feature</w:t>
            </w:r>
          </w:p>
        </w:tc>
        <w:tc>
          <w:tcPr>
            <w:tcW w:type="dxa" w:w="1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WT mean</w:t>
            </w:r>
          </w:p>
        </w:tc>
        <w:tc>
          <w:tcPr>
            <w:tcW w:type="dxa" w:w="1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KO mean</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Cohen's d</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p</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FDR q</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beta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0.151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0.141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0.438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0.788</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theta/delta ratio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1.542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1.509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0.420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0.777</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theta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0.318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0.347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+0.66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0.035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0.186</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 relative beta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0.138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0.117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0.319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0.651</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beta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0.108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0.159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+1.19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0.175</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theta/delta ratio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0.784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1.415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+1.84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0.175</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theta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0.244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0.309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+1.40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0.028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0.313</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 relative beta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0.091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0.166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+1.18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0.175</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6m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beta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0.122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0.132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0.772</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6m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theta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0.331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0.329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0.955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0.995</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7m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beta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0.132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0.659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0.951</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7m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theta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0.351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0.343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0.296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0.780</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9m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theta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0.351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0.394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+1.65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0.247</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9m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theta/delta ratio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1.536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1.760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+0.51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0.167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1.000</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beta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0.159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0.135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−1.55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0.233</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 relative beta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0.152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0.122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−1.51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0.233</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theta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0.352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0.379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+0.60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0.442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0.976</w:t>
            </w:r>
          </w:p>
        </w:tc>
      </w:tr>
    </w:tbl>
    <w:p>
      <w:pPr>
        <w:spacing w:after="160" w:line="276"/>
      </w:pPr>
      <w:r>
        <w:t xml:space="preserve">Headline features at each timepoint with each recording session treated as the unit of analysis (Scenario B), rather than averaging to one value per animal (Scenario A, the primary analysis). Group means, Cohen's d, and raw and Benjamini-Hochberg FDR-adjusted p-values are shown. The acute (4-month) and end-stage (12-month) beta and theta effects that define the primary analysis reproduce in direction and magnitude under session-level inference, and the 4-month theta/delta and 9-month relative-theta effects likewise persist, indicating the headline findings are not artifacts of the animal-level averaging. Per-timepoint sample sizes (sessions per group) were 18/18 (3m), 8/8 (4m), 16/16 (6m), 16/12 (7m), 9/8 (9m), and 8/8 (12m). Full feature-by-timepoint tables for all measures are available in the results files (statistics_[tp]_B.csv).</w:t>
      </w:r>
    </w:p>
    <w:p>
      <w:pPr>
        <w:spacing w:after="60" w:before="200"/>
      </w:pPr>
      <w:r>
        <w:rPr>
          <w:b/>
          <w:bCs/>
        </w:rPr>
        <w:t xml:space="preserve">Table S2. Mixed-effects genotype × time interaction (all tested features).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500"/>
        <w:gridCol w:w="200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Feature</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Interaction p</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FDR q</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Divergence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beta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0.0003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 (***)</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 relative beta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0.0008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 (***)</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theta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0.0036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 (**)</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theta/delta ratio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0.344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0.514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Sleep spindle duration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0.428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0.514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NREM relative theta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0.886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0.886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r>
    </w:tbl>
    <w:p>
      <w:pPr>
        <w:spacing w:after="160" w:line="276"/>
      </w:pPr>
      <w:r>
        <w:t xml:space="preserve">Linear mixed-effects models with genotype, age, and their interaction as fixed effects and a by-animal random intercept; p-values are the genotype × time interaction, reported under cluster-robust (by-animal) inference where the random-effect variance approached the boundary. FDR correction is across the features listed. A significant interaction indicates that the knockout and wild-type trajectories diverge over the disease course.</w:t>
      </w:r>
    </w:p>
    <w:p>
      <w:pPr>
        <w:spacing w:after="60" w:before="200"/>
      </w:pPr>
      <w:r>
        <w:rPr>
          <w:b/>
          <w:bCs/>
        </w:rPr>
        <w:t xml:space="preserve">Table S3. Sleep-state transition probabilities by genotype and timepoint.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700"/>
        <w:gridCol w:w="1500"/>
        <w:gridCol w:w="1500"/>
        <w:gridCol w:w="150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Genotype</w:t>
            </w:r>
          </w:p>
        </w:tc>
        <w:tc>
          <w:tcPr>
            <w:tcW w:type="dxa" w:w="1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Age</w:t>
            </w:r>
          </w:p>
        </w:tc>
        <w:tc>
          <w:tcPr>
            <w:tcW w:type="dxa" w:w="1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From state</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 Wake</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 NREM</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 REM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0.59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NREM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0.58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NREM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0.61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0.16</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NREM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0.21</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0.41</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0.58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NREM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0.63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NREM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0.50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0.24</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0.58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NREM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0.26</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0.42</w:t>
            </w:r>
          </w:p>
        </w:tc>
      </w:tr>
    </w:tbl>
    <w:p>
      <w:pPr>
        <w:spacing w:after="160" w:line="276"/>
      </w:pPr>
      <w:r>
        <w:t xml:space="preserve">Probability of transitioning from each row (current) state to each column (next) state, by genotype at 3, 4, and 12 months (rows sum to 1). The end-stage increase in the knockout NREM→REM probability and REM→NREM probability, with reduced REM self-maintenance, corresponds to the destabilization of sleep-state architecture described in the Results; full dwell-time and transition-rate comparisons with effect sizes and FDR-adjusted p-values are provided in the source results file.</w:t>
      </w:r>
    </w:p>
    <w:p>
      <w:pPr>
        <w:spacing w:after="60" w:before="200"/>
      </w:pPr>
      <w:r>
        <w:rPr>
          <w:b/>
          <w:bCs/>
        </w:rPr>
        <w:t xml:space="preserve">Table S4. Secondary timepoint analyses (6 and 7 months).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100"/>
        <w:gridCol w:w="1100"/>
        <w:gridCol w:w="1200"/>
        <w:gridCol w:w="1000"/>
        <w:gridCol w:w="10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Timepoint</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Feature</w:t>
            </w:r>
          </w:p>
        </w:tc>
        <w:tc>
          <w:tcPr>
            <w:tcW w:type="dxa" w:w="1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WT mean</w:t>
            </w:r>
          </w:p>
        </w:tc>
        <w:tc>
          <w:tcPr>
            <w:tcW w:type="dxa" w:w="1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KO mean</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Cohen's d</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p</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FDR q</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6m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beta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0.122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0.132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0.505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0.986</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6m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theta/delta ratio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1.379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1.330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0.645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0.986</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6m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theta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0.331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0.798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0.986</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6m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 relative beta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0.111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0.959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0.999</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6m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aperiodic exponent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1.689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1.595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0.798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0.986</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7m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beta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0.131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1.000</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7m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theta/delta ratio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1.547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1.476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1.000</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7m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theta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0.351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0.342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0.662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1.000</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7m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 relative beta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0.129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0.755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1.000</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7m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aperiodic exponent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1.631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1.582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0.852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1.000</w:t>
            </w:r>
          </w:p>
        </w:tc>
      </w:tr>
    </w:tbl>
    <w:p>
      <w:pPr>
        <w:spacing w:after="160" w:line="276"/>
      </w:pPr>
      <w:r>
        <w:t xml:space="preserve">Headline features at the two intermediate timepoints (6 and 7 months) that fall between the acute challenge and the progressive and end-stage windows, at the animal level (Scenario A). No headline feature differed significantly between genotypes at either timepoint after FDR correction. This is consistent with the biphasic trajectory described in the Results, in which the acute (4-month) elevation has resolved and the end-stage (12-month) reversal has not yet developed, leaving 6 and 7 months as a relatively quiescent interval for these measures. Per-group sample sizes were 8/8 (6m) and 8/6 (7m). Full feature tables are available in the results files (statistics_6m_A.csv, statistics_7m_A.csv).</w:t>
      </w:r>
    </w:p>
    <w:p>
      <w:pPr>
        <w:spacing w:after="60" w:before="200"/>
      </w:pPr>
      <w:r>
        <w:rPr>
          <w:b/>
          <w:bCs/>
        </w:rPr>
        <w:t xml:space="preserve">Table S5. Cross-validated classification performance.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600"/>
        <w:gridCol w:w="1500"/>
        <w:gridCol w:w="170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Feature (n)</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In-sample AUC</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LOO-CV AUC</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k-fold AUC</w:t>
            </w:r>
          </w:p>
        </w:tc>
        <w:tc>
          <w:tcPr>
            <w:tcW w:type="dxa" w:w="1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Permutation p</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 REM relative beta (n=16)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0.004</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 REM theta/delta (n=16)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0.007</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 REM relative beta (n=8)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0.69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0.109</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 spindle duration (n=18)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0.017</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 aperiodic exponent (n=18)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0.56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0.721</w:t>
            </w:r>
          </w:p>
        </w:tc>
      </w:tr>
    </w:tbl>
    <w:p>
      <w:pPr>
        <w:spacing w:after="160" w:line="276"/>
      </w:pPr>
      <w:r>
        <w:t xml:space="preserve">In-sample, leave-one-out cross-validated, and repeated stratified k-fold AUCs, with label-permutation p-values, for each headline feature. Out-of-sample (LOO-CV) AUC is the honest performance estimate; in-sample AUC is optimistic. The two acute REM features (4-month relative beta and theta/delta) and 3-month spindle duration classify genotype above chance under permutation testing, whereas the end-stage (12-month) beta reversal and the 3-month aperiodic exponent do not survive cross-validation at the available sample size and are interpreted as trajectory and predictive features respectively rather than standalone classifiers.</w:t>
      </w:r>
    </w:p>
    <w:p>
      <w:pPr>
        <w:spacing w:after="60" w:before="200"/>
      </w:pPr>
      <w:r>
        <w:rPr>
          <w:b/>
          <w:bCs/>
        </w:rPr>
        <w:t xml:space="preserve">Table S6. Staging-threshold sensitivity grid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500"/>
        <w:gridCol w:w="210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Feature</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d (min)</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d (max)</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Sign stable</w:t>
            </w:r>
          </w:p>
        </w:tc>
        <w:tc>
          <w:tcPr>
            <w:tcW w:type="dxa" w:w="2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FDR-significant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 REM relative beta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+1.37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+1.52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100% of grid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 REM theta/delta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+1.39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100% of grid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 REM relative beta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−1.68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−1.47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Directional</w:t>
            </w:r>
          </w:p>
        </w:tc>
      </w:tr>
    </w:tbl>
    <w:p>
      <w:pPr>
        <w:spacing w:after="160" w:line="276"/>
      </w:pPr>
      <w:r>
        <w:t xml:space="preserve">Genotype effect size (Cohen’s d, knockout − wild-type) for each headline REM feature across the 9-point grid of theta and delta percentile thresholds (40/50/60 each). The two acute effects remain positive and FDR-significant at every grid point; the end-stage beta reduction is directionally stable (negative at every grid point) though, consistent with its smaller sample, not individually significant across the grid. Full per-cell values for all 81 threshold combinations are in the source results file.</w:t>
      </w:r>
    </w:p>
    <w:p>
      <w:pPr>
        <w:spacing w:after="60" w:before="200"/>
      </w:pPr>
      <w:r>
        <w:rPr>
          <w:b/>
          <w:bCs/>
        </w:rPr>
        <w:t xml:space="preserve">Table S7. Validation of EEG-defined REM against synchronous video.</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100"/>
        <w:gridCol w:w="2100"/>
        <w:gridCol w:w="3000"/>
      </w:tblGrid>
      <w:tr>
        <w:trPr>
          <w:tblHeader/>
        </w:trPr>
        <w:tc>
          <w:tcPr>
            <w:tcW w:type="dxa" w:w="3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Validation metric</w:t>
            </w:r>
          </w:p>
        </w:tc>
        <w:tc>
          <w:tcPr>
            <w:tcW w:type="dxa" w:w="2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Value</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Expected / interpretation</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 of total epochs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7.0–10.3%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physiological mouse REM (~5–10%)</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 of sleep</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~21–29%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physiological</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epochs immobile (video)</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91.6%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highest of any state → not active wake</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NREM / Wake immobile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90% / 90%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the most immobile state</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vs ACTIVE wake motion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 = −1.28, p &lt; 10⁻⁸</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the objection-relevant contrast</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Wake→REM transition prob.</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low; REM rarely entered from wake</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self-maintenance prob.</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physiological REM persistence</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CA3 theta peak (REM)</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~6.3 Hz</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canonical rodent REM theta</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CA3 theta/delta, REM vs wake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 = +0.38</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hippocampal theta greatest in REM</w:t>
            </w:r>
          </w:p>
        </w:tc>
      </w:tr>
    </w:tbl>
    <w:p>
      <w:pPr>
        <w:spacing w:after="160" w:line="276"/>
      </w:pPr>
      <w:r>
        <w:t xml:space="preserve">Per-epoch video motion energy and hippocampal signatures for the validation subset (knockout and wild-type at 3, 9, and 12 months). REM epochs classified from EEG were behaviourally immobile at physiological frequency, were rarely entered from wakefulness, and carried canonical hippocampal theta, indicating that the EEG-defined REM state is not misclassified active wakefulness. Because mean wake motion is diluted by quiet rest, the diagnostic contrast is with active (high-movement) wake (Fig. S7); n = 20,436 REM epochs across the full cohort.</w:t>
      </w:r>
    </w:p>
    <w:p>
      <w:pPr>
        <w:spacing w:after="40" w:before="120"/>
        <w:jc w:val="center"/>
      </w:pPr>
      <w:r>
        <w:drawing>
          <wp:inline distT="0" distB="0" distL="0" distR="0">
            <wp:extent cx="3619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371850"/>
                    </a:xfrm>
                    <a:prstGeom prst="rect">
                      <a:avLst/>
                    </a:prstGeom>
                  </pic:spPr>
                </pic:pic>
              </a:graphicData>
            </a:graphic>
          </wp:inline>
        </w:drawing>
      </w:r>
    </w:p>
    <w:p>
      <w:pPr>
        <w:spacing w:after="160" w:line="276"/>
      </w:pPr>
      <w:r>
        <w:rPr>
          <w:b/>
          <w:bCs/>
        </w:rPr>
        <w:t xml:space="preserve">Figure S1. Animal flow through the longitudinal study. </w:t>
      </w:r>
      <w:r>
        <w:t xml:space="preserve">CONSORT-style accounting of wild-type and knockout animals from implantation at 3 months through the six EEG timepoints (3, 4, 6, 7, 9, 12 months) and the 10-month behavioural battery, with per-timepoint counts and attrition by genotype. Counts reflect animals with usable, video-paired recordings at each session and are a lower bound on contributing animals; values are to be reconciled against the master enrolment log, with reasons for attrition, before submission.</w:t>
      </w:r>
    </w:p>
    <w:p>
      <w:pPr>
        <w:spacing w:after="40" w:before="120"/>
        <w:jc w:val="center"/>
      </w:pPr>
      <w:r>
        <w:drawing>
          <wp:inline distT="0" distB="0" distL="0" distR="0">
            <wp:extent cx="4381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857375"/>
                    </a:xfrm>
                    <a:prstGeom prst="rect">
                      <a:avLst/>
                    </a:prstGeom>
                  </pic:spPr>
                </pic:pic>
              </a:graphicData>
            </a:graphic>
          </wp:inline>
        </w:drawing>
      </w:r>
    </w:p>
    <w:p>
      <w:pPr>
        <w:spacing w:after="160" w:line="276"/>
      </w:pPr>
      <w:r>
        <w:rPr>
          <w:b/>
          <w:bCs/>
        </w:rPr>
        <w:t xml:space="preserve">Figure S2. Full cortical phase-amplitude coupling matrix. </w:t>
      </w:r>
      <w:r>
        <w:t xml:space="preserve">Genotype effect size (Cohen’s d, knockout − wild-type) for every phase band (theta, alpha) against both gamma amplitude bands (low, high) during cortical REM at the principal timepoints; values are small and no cell reaches FDR significance, supporting a frequency-general PAC null.</w:t>
      </w:r>
    </w:p>
    <w:p>
      <w:pPr>
        <w:spacing w:after="40" w:before="120"/>
        <w:jc w:val="center"/>
      </w:pPr>
      <w:r>
        <w:drawing>
          <wp:inline distT="0" distB="0" distL="0" distR="0">
            <wp:extent cx="40957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609850"/>
                    </a:xfrm>
                    <a:prstGeom prst="rect">
                      <a:avLst/>
                    </a:prstGeom>
                  </pic:spPr>
                </pic:pic>
              </a:graphicData>
            </a:graphic>
          </wp:inline>
        </w:drawing>
      </w:r>
    </w:p>
    <w:p>
      <w:pPr>
        <w:spacing w:after="160" w:line="276"/>
      </w:pPr>
      <w:r>
        <w:rPr>
          <w:b/>
          <w:bCs/>
        </w:rPr>
        <w:t xml:space="preserve">Figure S3. Power-confound check. </w:t>
      </w:r>
      <w:r>
        <w:t xml:space="preserve">Genotype effect size over time for REM theta power (the PAC phase band) and REM gamma power (the PAC amplitude band); the near-zero gamma-power differences indicate that the PAC null does not arise from a gamma-power confound.</w:t>
      </w:r>
    </w:p>
    <w:p>
      <w:pPr>
        <w:spacing w:after="40" w:before="120"/>
        <w:jc w:val="center"/>
      </w:pPr>
      <w:r>
        <w:drawing>
          <wp:inline distT="0" distB="0" distL="0" distR="0">
            <wp:extent cx="42862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647950"/>
                    </a:xfrm>
                    <a:prstGeom prst="rect">
                      <a:avLst/>
                    </a:prstGeom>
                  </pic:spPr>
                </pic:pic>
              </a:graphicData>
            </a:graphic>
          </wp:inline>
        </w:drawing>
      </w:r>
    </w:p>
    <w:p>
      <w:pPr>
        <w:spacing w:after="40" w:before="120"/>
        <w:jc w:val="center"/>
      </w:pPr>
      <w:r>
        <w:drawing>
          <wp:inline distT="0" distB="0" distL="0" distR="0">
            <wp:extent cx="3619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371725"/>
                    </a:xfrm>
                    <a:prstGeom prst="rect">
                      <a:avLst/>
                    </a:prstGeom>
                  </pic:spPr>
                </pic:pic>
              </a:graphicData>
            </a:graphic>
          </wp:inline>
        </w:drawing>
      </w:r>
    </w:p>
    <w:p>
      <w:pPr>
        <w:spacing w:after="160" w:line="276"/>
      </w:pPr>
      <w:r>
        <w:rPr>
          <w:b/>
          <w:bCs/>
        </w:rPr>
        <w:t xml:space="preserve">Figure S4. Cross-validated classification. </w:t>
      </w:r>
      <w:r>
        <w:t xml:space="preserve">Forest plot of in-sample, leave-one-out, and repeated k-fold AUC for the headline features (top), and the label-permutation null distribution for the strongest classifier, 4-month REM relative beta (observed AUC = 0.92, empirical p = 0.004; bottom).</w:t>
      </w:r>
    </w:p>
    <w:p>
      <w:pPr>
        <w:spacing w:after="40" w:before="120"/>
        <w:jc w:val="center"/>
      </w:pPr>
      <w:r>
        <w:drawing>
          <wp:inline distT="0" distB="0" distL="0" distR="0">
            <wp:extent cx="409575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4314825"/>
                    </a:xfrm>
                    <a:prstGeom prst="rect">
                      <a:avLst/>
                    </a:prstGeom>
                  </pic:spPr>
                </pic:pic>
              </a:graphicData>
            </a:graphic>
          </wp:inline>
        </w:drawing>
      </w:r>
    </w:p>
    <w:p>
      <w:pPr>
        <w:spacing w:after="160" w:line="276"/>
      </w:pPr>
      <w:r>
        <w:rPr>
          <w:b/>
          <w:bCs/>
        </w:rPr>
        <w:t xml:space="preserve">Figure S5. Genotype classification by headline features. </w:t>
      </w:r>
      <w:r>
        <w:t xml:space="preserve">Receiver-operating-characteristic curves for animal-level genotype classification by each headline EEG feature, with in-sample AUC; the acute 4-month REM beta and theta/delta features and the end-stage beta reversal are the strongest discriminators, while the 3-month aperiodic exponent is near chance.</w:t>
      </w:r>
    </w:p>
    <w:p>
      <w:pPr>
        <w:spacing w:after="40" w:before="120"/>
        <w:jc w:val="center"/>
      </w:pPr>
      <w:r>
        <w:drawing>
          <wp:inline distT="0" distB="0" distL="0" distR="0">
            <wp:extent cx="4381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1809750"/>
                    </a:xfrm>
                    <a:prstGeom prst="rect">
                      <a:avLst/>
                    </a:prstGeom>
                  </pic:spPr>
                </pic:pic>
              </a:graphicData>
            </a:graphic>
          </wp:inline>
        </w:drawing>
      </w:r>
    </w:p>
    <w:p>
      <w:pPr>
        <w:spacing w:after="40" w:before="120"/>
        <w:jc w:val="center"/>
      </w:pPr>
      <w:r>
        <w:drawing>
          <wp:inline distT="0" distB="0" distL="0" distR="0">
            <wp:extent cx="3619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3267075"/>
                    </a:xfrm>
                    <a:prstGeom prst="rect">
                      <a:avLst/>
                    </a:prstGeom>
                  </pic:spPr>
                </pic:pic>
              </a:graphicData>
            </a:graphic>
          </wp:inline>
        </w:drawing>
      </w:r>
    </w:p>
    <w:p>
      <w:pPr>
        <w:spacing w:after="160" w:line="276"/>
      </w:pPr>
      <w:r>
        <w:rPr>
          <w:b/>
          <w:bCs/>
        </w:rPr>
        <w:t xml:space="preserve">Figure S6. Staging-sensitivity and state separation. </w:t>
      </w:r>
      <w:r>
        <w:t xml:space="preserve">Genotype effect size for each headline REM feature across the 9-point threshold grid (top): the 4-month beta and theta/delta effects remain positive and the 12-month beta effect remains negative throughout, showing the findings are not artifacts of any single staging cutoff. The theta-delta-plane state-separation diagnostic (bottom) provides visual justification for the band-power vigilance-state classification.</w:t>
      </w:r>
    </w:p>
    <w:p>
      <w:pPr>
        <w:spacing w:after="40" w:before="120"/>
        <w:jc w:val="center"/>
      </w:pPr>
      <w:r>
        <w:drawing>
          <wp:inline distT="0" distB="0" distL="0" distR="0">
            <wp:extent cx="4381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1809750"/>
                    </a:xfrm>
                    <a:prstGeom prst="rect">
                      <a:avLst/>
                    </a:prstGeom>
                  </pic:spPr>
                </pic:pic>
              </a:graphicData>
            </a:graphic>
          </wp:inline>
        </w:drawing>
      </w:r>
    </w:p>
    <w:p>
      <w:pPr>
        <w:spacing w:after="160" w:line="276"/>
      </w:pPr>
      <w:r>
        <w:rPr>
          <w:b/>
          <w:bCs/>
        </w:rPr>
        <w:t xml:space="preserve">Figure S7. Validation of EEG-defined REM using synchronous video. </w:t>
      </w:r>
      <w:r>
        <w:t xml:space="preserve">Left: video motion energy (an electromyography surrogate) by vigilance state, with wakefulness partitioned into quiet and active (upper movement quartile). REM-classified epochs are immobile and far below active wakefulness (Cohen’s d = −1.28), the contrast relevant to the active-wake confound; 91.6% of REM epochs were behaviourally immobile across the full cohort (n = 20,436). Right: hippocampal CA3 theta/delta ratio by state, greatest during REM (REM vs wake d = +0.38; ~6.3 Hz theta peak). Together with physiological REM proportion (7–10% of total time) and low wake-to-REM transition probability (0.07), these confirm that the EEG-defined REM state is behaviourally quiescent and hippocampally appropriate rather than misclassified active wake.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3338b35ba2f7a1fd5ac3461e676bfb1e9971597.png"/><Relationship Id="rId9" Type="http://schemas.openxmlformats.org/officeDocument/2006/relationships/image" Target="media/1b35dec17026abb986deecb63c09ba37763a8ec2.png"/><Relationship Id="rId10" Type="http://schemas.openxmlformats.org/officeDocument/2006/relationships/image" Target="media/7e0e98b61c09d66a27f8b2ca48055ed0390e5773.png"/><Relationship Id="rId11" Type="http://schemas.openxmlformats.org/officeDocument/2006/relationships/image" Target="media/8fb8b24ce089f327b515af2bc59bc8c205837a39.png"/><Relationship Id="rId12" Type="http://schemas.openxmlformats.org/officeDocument/2006/relationships/image" Target="media/8b21ee860393a0ff7cbd441edf8ee86e26816587.png"/><Relationship Id="rId13" Type="http://schemas.openxmlformats.org/officeDocument/2006/relationships/image" Target="media/1e6e0c57196579f79f6c4c07cc0f7a3a589a7b49.png"/><Relationship Id="rId14" Type="http://schemas.openxmlformats.org/officeDocument/2006/relationships/image" Target="media/a1a1502d20452ab71da3412c5ebeedc6adfdd240.png"/><Relationship Id="rId15" Type="http://schemas.openxmlformats.org/officeDocument/2006/relationships/image" Target="media/ced7384e2c4a646bab810eddad7c9b439f4752ec.png"/><Relationship Id="rId16" Type="http://schemas.openxmlformats.org/officeDocument/2006/relationships/image" Target="media/f167fdf0efcbd6bf60862eba6a7a20bf6cad935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2026-06-20T14:00:30.789Z</dcterms:created>
  <dcterms:modified xsi:type="dcterms:W3CDTF">2026-06-20T14:00:30.789Z</dcterms:modified>
</cp:coreProperties>
</file>

<file path=docProps/custom.xml><?xml version="1.0" encoding="utf-8"?>
<Properties xmlns="http://schemas.openxmlformats.org/officeDocument/2006/custom-properties" xmlns:vt="http://schemas.openxmlformats.org/officeDocument/2006/docPropsVTypes"/>
</file>