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7317482A"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is a neurodevelopment condition in which the people with the condition exhibit a variety of distinct behavioural patterns. Diagnosis typically happens at a young age as parents and teachers notice the autism symptoms. However, identify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K-Nearest Neighbours and </w:t>
      </w:r>
      <w:r w:rsidR="00697D01">
        <w:rPr>
          <w:rFonts w:ascii="Times New Roman" w:hAnsi="Times New Roman" w:cs="Times New Roman"/>
          <w:sz w:val="24"/>
          <w:szCs w:val="24"/>
        </w:rPr>
        <w:t>Naïve Bayes</w:t>
      </w:r>
      <w:r w:rsidR="00697D01">
        <w:rPr>
          <w:rFonts w:ascii="Times New Roman" w:hAnsi="Times New Roman" w:cs="Times New Roman"/>
          <w:sz w:val="24"/>
          <w:szCs w:val="24"/>
        </w:rPr>
        <w:t xml:space="preserve"> 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AA48A3">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fldSimple w:instr=" SEQ Table \* ARABIC ">
        <w:r w:rsidR="001B723D">
          <w:rPr>
            <w:noProof/>
          </w:rPr>
          <w:t>1</w:t>
        </w:r>
      </w:fldSimple>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071F453E"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 The size of the cleaned data used for model generation contained</w:t>
      </w:r>
      <w:r w:rsidR="00F75554">
        <w:rPr>
          <w:rFonts w:ascii="Times New Roman" w:hAnsi="Times New Roman" w:cs="Times New Roman"/>
          <w:sz w:val="24"/>
          <w:szCs w:val="24"/>
        </w:rPr>
        <w:t xml:space="preserve"> 19</w:t>
      </w:r>
      <w:r w:rsidR="00DA4F32">
        <w:rPr>
          <w:rFonts w:ascii="Times New Roman" w:hAnsi="Times New Roman" w:cs="Times New Roman"/>
          <w:sz w:val="24"/>
          <w:szCs w:val="24"/>
        </w:rPr>
        <w:t xml:space="preserve"> columns, 1</w:t>
      </w:r>
      <w:r w:rsidR="00203204">
        <w:rPr>
          <w:rFonts w:ascii="Times New Roman" w:hAnsi="Times New Roman" w:cs="Times New Roman"/>
          <w:sz w:val="24"/>
          <w:szCs w:val="24"/>
        </w:rPr>
        <w:t>8</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65D65EC5" w14:textId="309ABD18" w:rsidR="00203204"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002F272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fldSimple w:instr=" SEQ Figure \* ARABIC ">
        <w:r w:rsidR="002C0503">
          <w:rPr>
            <w:noProof/>
          </w:rPr>
          <w:t>1</w:t>
        </w:r>
      </w:fldSimple>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w:t>
      </w:r>
      <w:r w:rsidR="00523FD0">
        <w:rPr>
          <w:rFonts w:ascii="Times New Roman" w:eastAsiaTheme="minorEastAsia" w:hAnsi="Times New Roman" w:cs="Times New Roman"/>
          <w:sz w:val="24"/>
          <w:szCs w:val="24"/>
        </w:rPr>
        <w:t xml:space="preserve">that will lie between the value of 0 and 1 inclusive. </w:t>
      </w:r>
    </w:p>
    <w:p w14:paraId="19FC8903" w14:textId="6D8F1F07" w:rsidR="00523FD0" w:rsidRPr="003B3940" w:rsidRDefault="00523FD0"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K-Nearest Neighbour (KNN)</w:t>
      </w:r>
    </w:p>
    <w:p w14:paraId="26A64555" w14:textId="661B26EA" w:rsidR="00523FD0" w:rsidRDefault="00523FD0" w:rsidP="009672B8">
      <w:pPr>
        <w:rPr>
          <w:rFonts w:ascii="Times New Roman" w:eastAsiaTheme="minorEastAsia" w:hAnsi="Times New Roman" w:cs="Times New Roman"/>
          <w:sz w:val="24"/>
          <w:szCs w:val="24"/>
        </w:rPr>
      </w:pPr>
      <w:r>
        <w:rPr>
          <w:rFonts w:ascii="Times New Roman" w:hAnsi="Times New Roman" w:cs="Times New Roman"/>
          <w:sz w:val="24"/>
          <w:szCs w:val="24"/>
        </w:rPr>
        <w:t>KNN is a supervised learning approach</w:t>
      </w:r>
      <w:r w:rsidR="000C321B">
        <w:rPr>
          <w:rFonts w:ascii="Times New Roman" w:hAnsi="Times New Roman" w:cs="Times New Roman"/>
          <w:sz w:val="24"/>
          <w:szCs w:val="24"/>
        </w:rPr>
        <w:t xml:space="preserve"> that can be used for both regression and classification problems. The KNN classifier used here solves classification problems by estimating the conditional probability </w:t>
      </w:r>
      <m:oMath>
        <m:r>
          <w:rPr>
            <w:rFonts w:ascii="Cambria Math" w:hAnsi="Cambria Math" w:cs="Times New Roman"/>
            <w:sz w:val="24"/>
            <w:szCs w:val="24"/>
          </w:rPr>
          <m:t>P(Y=j|X=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w:r w:rsidR="000C321B">
        <w:rPr>
          <w:rFonts w:ascii="Times New Roman" w:eastAsiaTheme="minorEastAsia" w:hAnsi="Times New Roman" w:cs="Times New Roman"/>
          <w:sz w:val="24"/>
          <w:szCs w:val="24"/>
        </w:rPr>
        <w:t xml:space="preserve"> as the average of the </w:t>
      </w:r>
      <m:oMath>
        <m:r>
          <m:rPr>
            <m:sty m:val="p"/>
          </m:rPr>
          <w:rPr>
            <w:rFonts w:ascii="Cambria Math" w:eastAsiaTheme="minorEastAsia" w:hAnsi="Cambria Math" w:cs="Times New Roman"/>
            <w:sz w:val="24"/>
            <w:szCs w:val="24"/>
          </w:rPr>
          <m:t>K</m:t>
        </m:r>
      </m:oMath>
      <w:r w:rsidR="000C321B">
        <w:rPr>
          <w:rFonts w:ascii="Times New Roman" w:eastAsiaTheme="minorEastAsia" w:hAnsi="Times New Roman" w:cs="Times New Roman"/>
          <w:sz w:val="24"/>
          <w:szCs w:val="24"/>
        </w:rPr>
        <w:t xml:space="preserve"> training responses in the neighbourhood. The distance measure used is the Euclidean distance.</w:t>
      </w:r>
    </w:p>
    <w:p w14:paraId="3AB0DC10" w14:textId="339F77A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5B0363C8" w14:textId="77777777" w:rsidR="0038041F" w:rsidRPr="003C01C3" w:rsidRDefault="0038041F"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w:t>
            </w:r>
            <w:r>
              <w:rPr>
                <w:rFonts w:ascii="Times New Roman" w:hAnsi="Times New Roman" w:cs="Times New Roman"/>
                <w:sz w:val="24"/>
                <w:szCs w:val="24"/>
              </w:rPr>
              <w:t xml:space="preserve"> </w:t>
            </w:r>
            <w:r>
              <w:rPr>
                <w:rFonts w:ascii="Times New Roman" w:hAnsi="Times New Roman" w:cs="Times New Roman"/>
                <w:sz w:val="24"/>
                <w:szCs w:val="24"/>
              </w:rPr>
              <w:t>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w:t>
            </w:r>
            <w:r>
              <w:rPr>
                <w:rFonts w:ascii="Times New Roman" w:hAnsi="Times New Roman" w:cs="Times New Roman"/>
                <w:sz w:val="24"/>
                <w:szCs w:val="24"/>
              </w:rPr>
              <w:t xml:space="preserve"> </w:t>
            </w:r>
            <w:r>
              <w:rPr>
                <w:rFonts w:ascii="Times New Roman" w:hAnsi="Times New Roman" w:cs="Times New Roman"/>
                <w:sz w:val="24"/>
                <w:szCs w:val="24"/>
              </w:rPr>
              <w:t>Negative</w:t>
            </w:r>
          </w:p>
        </w:tc>
      </w:tr>
    </w:tbl>
    <w:p w14:paraId="540084CD" w14:textId="271F7F19" w:rsidR="001A4A96" w:rsidRDefault="001B723D" w:rsidP="001B723D">
      <w:pPr>
        <w:pStyle w:val="Caption"/>
        <w:jc w:val="center"/>
      </w:pPr>
      <w:r>
        <w:t xml:space="preserve">Table </w:t>
      </w:r>
      <w:fldSimple w:instr=" SEQ Table \* ARABIC ">
        <w:r>
          <w:rPr>
            <w:noProof/>
          </w:rPr>
          <w:t>2</w:t>
        </w:r>
      </w:fldSimple>
      <w:r>
        <w:t>: Confusion Matrix</w:t>
      </w:r>
    </w:p>
    <w:p w14:paraId="7E5BB938" w14:textId="77777777" w:rsidR="0021017A" w:rsidRPr="0021017A" w:rsidRDefault="0021017A" w:rsidP="0021017A"/>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T</m:t>
                    </m:r>
                    <m:r>
                      <w:rPr>
                        <w:rFonts w:ascii="Cambria Math" w:hAnsi="Cambria Math" w:cs="Times New Roman"/>
                        <w:sz w:val="24"/>
                        <w:szCs w:val="24"/>
                      </w:rPr>
                      <m:t>P+TN</m:t>
                    </m:r>
                  </m:num>
                  <m:den>
                    <m:r>
                      <w:rPr>
                        <w:rFonts w:ascii="Cambria Math" w:hAnsi="Cambria Math" w:cs="Times New Roman"/>
                        <w:sz w:val="24"/>
                        <w:szCs w:val="24"/>
                      </w:rPr>
                      <m:t>TN+</m:t>
                    </m:r>
                    <m:r>
                      <w:rPr>
                        <w:rFonts w:ascii="Cambria Math" w:hAnsi="Cambria Math" w:cs="Times New Roman"/>
                        <w:sz w:val="24"/>
                        <w:szCs w:val="24"/>
                      </w:rPr>
                      <m:t>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m:t>
                    </m:r>
                    <m:r>
                      <w:rPr>
                        <w:rFonts w:ascii="Cambria Math" w:hAnsi="Cambria Math" w:cs="Times New Roman"/>
                        <w:sz w:val="24"/>
                        <w:szCs w:val="24"/>
                      </w:rPr>
                      <m:t>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fldSimple w:instr=" SEQ Table \* ARABIC ">
        <w:r>
          <w:rPr>
            <w:noProof/>
          </w:rPr>
          <w:t>3</w:t>
        </w:r>
      </w:fldSimple>
      <w:r>
        <w:t>: Performance Metrics formulae</w:t>
      </w:r>
    </w:p>
    <w:p w14:paraId="2C65C46A" w14:textId="0D1A2F22" w:rsidR="00EE692F" w:rsidRDefault="00953342" w:rsidP="00834D99">
      <w:pPr>
        <w:rPr>
          <w:rFonts w:ascii="Times New Roman" w:hAnsi="Times New Roman" w:cs="Times New Roman"/>
          <w:sz w:val="24"/>
          <w:szCs w:val="24"/>
        </w:rPr>
      </w:pPr>
      <w:r>
        <w:rPr>
          <w:rFonts w:ascii="Times New Roman" w:hAnsi="Times New Roman" w:cs="Times New Roman"/>
          <w:sz w:val="24"/>
          <w:szCs w:val="24"/>
        </w:rPr>
        <w:lastRenderedPageBreak/>
        <w:t>Principle component analysis illustrated th</w:t>
      </w:r>
      <w:r w:rsidR="00714B3D">
        <w:rPr>
          <w:rFonts w:ascii="Times New Roman" w:hAnsi="Times New Roman" w:cs="Times New Roman"/>
          <w:sz w:val="24"/>
          <w:szCs w:val="24"/>
        </w:rPr>
        <w:t>at</w:t>
      </w:r>
      <w:r>
        <w:rPr>
          <w:rFonts w:ascii="Times New Roman" w:hAnsi="Times New Roman" w:cs="Times New Roman"/>
          <w:sz w:val="24"/>
          <w:szCs w:val="24"/>
        </w:rPr>
        <w:t xml:space="preserve"> each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component is necessary in explaining the variation within the data with PC1 explaining 17.28% of the variance all the way through to PC19 which explained 2.5%. </w:t>
      </w:r>
      <w:r w:rsidR="00714B3D">
        <w:rPr>
          <w:rFonts w:ascii="Times New Roman" w:hAnsi="Times New Roman" w:cs="Times New Roman"/>
          <w:sz w:val="24"/>
          <w:szCs w:val="24"/>
        </w:rPr>
        <w:t>The resulting figures showed no distinct ‘elbow’ outside of PC1.</w:t>
      </w:r>
    </w:p>
    <w:p w14:paraId="408ED251" w14:textId="74C0F195" w:rsidR="00714B3D" w:rsidRPr="00953342" w:rsidRDefault="00714B3D"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0E3E1" wp14:editId="2E8E9DFD">
            <wp:extent cx="3365634" cy="198828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5" cstate="print">
                      <a:extLst>
                        <a:ext uri="{28A0092B-C50C-407E-A947-70E740481C1C}">
                          <a14:useLocalDpi xmlns:a14="http://schemas.microsoft.com/office/drawing/2010/main" val="0"/>
                        </a:ext>
                      </a:extLst>
                    </a:blip>
                    <a:srcRect t="8551" r="3561" b="2727"/>
                    <a:stretch/>
                  </pic:blipFill>
                  <pic:spPr bwMode="auto">
                    <a:xfrm>
                      <a:off x="0" y="0"/>
                      <a:ext cx="3375082" cy="1993869"/>
                    </a:xfrm>
                    <a:prstGeom prst="rect">
                      <a:avLst/>
                    </a:prstGeom>
                    <a:ln>
                      <a:noFill/>
                    </a:ln>
                    <a:extLst>
                      <a:ext uri="{53640926-AAD7-44D8-BBD7-CCE9431645EC}">
                        <a14:shadowObscured xmlns:a14="http://schemas.microsoft.com/office/drawing/2010/main"/>
                      </a:ext>
                    </a:extLst>
                  </pic:spPr>
                </pic:pic>
              </a:graphicData>
            </a:graphic>
          </wp:inline>
        </w:drawing>
      </w: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w:t>
      </w:r>
      <w:proofErr w:type="gramStart"/>
      <w:r>
        <w:rPr>
          <w:rFonts w:ascii="Times New Roman" w:hAnsi="Times New Roman" w:cs="Times New Roman"/>
          <w:sz w:val="24"/>
          <w:szCs w:val="24"/>
        </w:rPr>
        <w:t>it can be seen that posting</w:t>
      </w:r>
      <w:proofErr w:type="gramEnd"/>
      <w:r>
        <w:rPr>
          <w:rFonts w:ascii="Times New Roman" w:hAnsi="Times New Roman" w:cs="Times New Roman"/>
          <w:sz w:val="24"/>
          <w:szCs w:val="24"/>
        </w:rPr>
        <w:t xml:space="preserve"> a video will drastically improve the engagement efficiency of the post. </w:t>
      </w:r>
      <w:r w:rsidR="00EE52A6">
        <w:rPr>
          <w:rFonts w:ascii="Times New Roman" w:hAnsi="Times New Roman" w:cs="Times New Roman"/>
          <w:sz w:val="24"/>
          <w:szCs w:val="24"/>
        </w:rPr>
        <w:t>Posting in spring will, on average, bring a 20% 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C0503"/>
    <w:rsid w:val="002F5CA7"/>
    <w:rsid w:val="00330E8B"/>
    <w:rsid w:val="003615DE"/>
    <w:rsid w:val="0038041F"/>
    <w:rsid w:val="003A1018"/>
    <w:rsid w:val="003B3940"/>
    <w:rsid w:val="003C1B7E"/>
    <w:rsid w:val="003F269B"/>
    <w:rsid w:val="004019C6"/>
    <w:rsid w:val="004558C4"/>
    <w:rsid w:val="004D6B97"/>
    <w:rsid w:val="0050586F"/>
    <w:rsid w:val="005157F0"/>
    <w:rsid w:val="00523FD0"/>
    <w:rsid w:val="00564FB3"/>
    <w:rsid w:val="005808AA"/>
    <w:rsid w:val="005D195B"/>
    <w:rsid w:val="005E106B"/>
    <w:rsid w:val="00651146"/>
    <w:rsid w:val="00655108"/>
    <w:rsid w:val="00667E6D"/>
    <w:rsid w:val="006817C1"/>
    <w:rsid w:val="006923CA"/>
    <w:rsid w:val="00697D01"/>
    <w:rsid w:val="006D4953"/>
    <w:rsid w:val="006F1BC7"/>
    <w:rsid w:val="007111EF"/>
    <w:rsid w:val="00714B3D"/>
    <w:rsid w:val="00735CB2"/>
    <w:rsid w:val="0077726D"/>
    <w:rsid w:val="007E68DD"/>
    <w:rsid w:val="008024A7"/>
    <w:rsid w:val="00811CDF"/>
    <w:rsid w:val="00834D99"/>
    <w:rsid w:val="00844772"/>
    <w:rsid w:val="008522EA"/>
    <w:rsid w:val="008A2C8C"/>
    <w:rsid w:val="008B7B4B"/>
    <w:rsid w:val="008F6502"/>
    <w:rsid w:val="00902DA7"/>
    <w:rsid w:val="00953342"/>
    <w:rsid w:val="009672B8"/>
    <w:rsid w:val="009B0734"/>
    <w:rsid w:val="009C7544"/>
    <w:rsid w:val="009D2684"/>
    <w:rsid w:val="009E298A"/>
    <w:rsid w:val="00A63FF0"/>
    <w:rsid w:val="00AA48A3"/>
    <w:rsid w:val="00AC511D"/>
    <w:rsid w:val="00B0782F"/>
    <w:rsid w:val="00B158C1"/>
    <w:rsid w:val="00B22B99"/>
    <w:rsid w:val="00B30370"/>
    <w:rsid w:val="00B35394"/>
    <w:rsid w:val="00BA6F83"/>
    <w:rsid w:val="00C1182B"/>
    <w:rsid w:val="00C14837"/>
    <w:rsid w:val="00C30E49"/>
    <w:rsid w:val="00C51359"/>
    <w:rsid w:val="00C65C9D"/>
    <w:rsid w:val="00C9240B"/>
    <w:rsid w:val="00D07EAD"/>
    <w:rsid w:val="00D263F1"/>
    <w:rsid w:val="00DA4DBE"/>
    <w:rsid w:val="00DA4F32"/>
    <w:rsid w:val="00DD4FCD"/>
    <w:rsid w:val="00DE7E0A"/>
    <w:rsid w:val="00DF35E8"/>
    <w:rsid w:val="00DF4551"/>
    <w:rsid w:val="00E848CB"/>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11</cp:revision>
  <dcterms:created xsi:type="dcterms:W3CDTF">2020-11-01T09:10:00Z</dcterms:created>
  <dcterms:modified xsi:type="dcterms:W3CDTF">2021-10-03T12:11:00Z</dcterms:modified>
</cp:coreProperties>
</file>