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Aptos" w:hAnsi="Aptos"/>
          <w:b/>
          <w:color w:val="159A9C"/>
          <w:sz w:val="20"/>
        </w:rPr>
        <w:t>DOSSIER DE PRÉSENTATION</w:t>
      </w:r>
    </w:p>
    <w:p>
      <w:pPr>
        <w:pStyle w:val="Title"/>
        <w:jc w:val="center"/>
      </w:pPr>
      <w:r>
        <w:t>WAKE Business Suite</w:t>
      </w:r>
    </w:p>
    <w:p>
      <w:pPr>
        <w:spacing w:after="720"/>
        <w:jc w:val="center"/>
      </w:pPr>
      <w:r>
        <w:rPr>
          <w:rFonts w:ascii="Aptos" w:hAnsi="Aptos"/>
          <w:color w:val="1D6FA5"/>
          <w:sz w:val="28"/>
        </w:rPr>
        <w:t>Plateforme intégrée de pilotage opérationnel et financier</w:t>
      </w:r>
    </w:p>
    <w:p>
      <w:pPr>
        <w:spacing w:after="80"/>
        <w:jc w:val="center"/>
      </w:pPr>
      <w:r>
        <w:rPr>
          <w:rFonts w:ascii="Aptos" w:hAnsi="Aptos"/>
          <w:b/>
          <w:color w:val="17324D"/>
          <w:sz w:val="26"/>
        </w:rPr>
        <w:t>WAKE SERVICES</w:t>
      </w:r>
    </w:p>
    <w:p>
      <w:pPr>
        <w:spacing w:after="840"/>
        <w:jc w:val="center"/>
      </w:pPr>
      <w:r>
        <w:rPr>
          <w:rFonts w:ascii="Aptos" w:hAnsi="Aptos"/>
          <w:color w:val="64748B"/>
          <w:sz w:val="21"/>
        </w:rPr>
        <w:t>Document destiné à la Direction, aux responsables métiers et aux partenaires</w:t>
        <w:br/>
        <w:t>Version 1.0 · 22 juin 2026</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E7F1F7"/>
          </w:tcPr>
          <w:p>
            <w:pPr>
              <w:spacing w:after="20"/>
            </w:pPr>
            <w:r>
              <w:rPr>
                <w:rFonts w:ascii="Aptos" w:hAnsi="Aptos"/>
                <w:b/>
                <w:color w:val="17324D"/>
                <w:sz w:val="21"/>
              </w:rPr>
              <w:t xml:space="preserve">Finalité  </w:t>
            </w:r>
            <w:r>
              <w:rPr>
                <w:rFonts w:ascii="Aptos" w:hAnsi="Aptos"/>
                <w:color w:val="24303C"/>
                <w:sz w:val="21"/>
              </w:rPr>
              <w:t>Présenter une vision fiable du logiciel à partir de ses modules, parcours, rôles, règles de gestion et mécanismes de sécurité observés dans le code source.</w:t>
            </w:r>
          </w:p>
        </w:tc>
      </w:tr>
    </w:tbl>
    <w:p>
      <w:pPr>
        <w:spacing w:after="20"/>
      </w:pPr>
    </w:p>
    <w:p>
      <w:r>
        <w:br w:type="page"/>
      </w:r>
    </w:p>
    <w:p>
      <w:pPr>
        <w:spacing w:before="80" w:after="60"/>
      </w:pPr>
      <w:r>
        <w:rPr>
          <w:rFonts w:ascii="Aptos" w:hAnsi="Aptos"/>
          <w:b/>
          <w:color w:val="159A9C"/>
          <w:sz w:val="17"/>
        </w:rPr>
        <w:t>VUE D’ENSEMBLE</w:t>
      </w:r>
    </w:p>
    <w:p>
      <w:pPr>
        <w:pStyle w:val="Heading1"/>
      </w:pPr>
      <w:r>
        <w:t>1. Synthèse exécutive</w:t>
      </w:r>
    </w:p>
    <w:p>
      <w:r>
        <w:t>WAKE Business Suite est une application web de gestion intégrée conçue pour centraliser les activités de WAKE SERVICES. Elle relie les processus commerciaux, financiers, de construction et de placement du personnel dans un environnement unique, avec gestion des rôles, notifications et traçabilité des actions.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FF7E3"/>
          </w:tcPr>
          <w:p>
            <w:pPr>
              <w:spacing w:after="20"/>
            </w:pPr>
            <w:r>
              <w:rPr>
                <w:rFonts w:ascii="Aptos" w:hAnsi="Aptos"/>
                <w:b/>
                <w:color w:val="17324D"/>
                <w:sz w:val="21"/>
              </w:rPr>
              <w:t xml:space="preserve">Proposition de valeur  </w:t>
            </w:r>
            <w:r>
              <w:rPr>
                <w:rFonts w:ascii="Aptos" w:hAnsi="Aptos"/>
                <w:color w:val="24303C"/>
                <w:sz w:val="21"/>
              </w:rPr>
              <w:t>Un même référentiel pour décider, exécuter et contrôler : les opérations produisent des données immédiatement exploitables par la Direction.</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vAlign w:val="center"/>
            <w:tcMar>
              <w:top w:w="90" w:type="dxa"/>
              <w:start w:w="120" w:type="dxa"/>
              <w:bottom w:w="90" w:type="dxa"/>
              <w:end w:w="120" w:type="dxa"/>
            </w:tcMar>
            <w:shd w:fill="17324D"/>
          </w:tcPr>
          <w:p>
            <w:pPr>
              <w:spacing w:after="0"/>
            </w:pPr>
            <w:r>
              <w:rPr>
                <w:rFonts w:ascii="Aptos" w:hAnsi="Aptos"/>
                <w:b/>
                <w:color w:val="FFFFFF"/>
                <w:sz w:val="19"/>
              </w:rPr>
              <w:t>Dimension</w:t>
            </w:r>
          </w:p>
        </w:tc>
        <w:tc>
          <w:tcPr>
            <w:tcW w:type="dxa" w:w="7460"/>
            <w:vAlign w:val="center"/>
            <w:tcMar>
              <w:top w:w="90" w:type="dxa"/>
              <w:start w:w="120" w:type="dxa"/>
              <w:bottom w:w="90" w:type="dxa"/>
              <w:end w:w="120" w:type="dxa"/>
            </w:tcMar>
            <w:shd w:fill="17324D"/>
          </w:tcPr>
          <w:p>
            <w:pPr>
              <w:spacing w:after="0"/>
            </w:pPr>
            <w:r>
              <w:rPr>
                <w:rFonts w:ascii="Aptos" w:hAnsi="Aptos"/>
                <w:b/>
                <w:color w:val="FFFFFF"/>
                <w:sz w:val="19"/>
              </w:rPr>
              <w:t>Apport du logiciel</w:t>
            </w:r>
          </w:p>
        </w:tc>
      </w:tr>
      <w:tr>
        <w:tc>
          <w:tcPr>
            <w:tcW w:type="dxa" w:w="1900"/>
          </w:tcPr>
          <w:p>
            <w:pPr>
              <w:spacing w:after="0"/>
            </w:pPr>
            <w:r>
              <w:rPr>
                <w:rFonts w:ascii="Aptos" w:hAnsi="Aptos"/>
                <w:color w:val="24303C"/>
                <w:sz w:val="19"/>
              </w:rPr>
              <w:t>Pilotage</w:t>
            </w:r>
          </w:p>
        </w:tc>
        <w:tc>
          <w:tcPr>
            <w:tcW w:type="dxa" w:w="7460"/>
          </w:tcPr>
          <w:p>
            <w:pPr>
              <w:spacing w:after="0"/>
            </w:pPr>
            <w:r>
              <w:rPr>
                <w:rFonts w:ascii="Aptos" w:hAnsi="Aptos"/>
                <w:color w:val="24303C"/>
                <w:sz w:val="19"/>
              </w:rPr>
              <w:t>Tableau de bord Direction avec trésorerie, revenus, dépenses, marges, alertes et dossiers critiques.</w:t>
            </w:r>
          </w:p>
        </w:tc>
      </w:tr>
      <w:tr>
        <w:tc>
          <w:tcPr>
            <w:tcW w:type="dxa" w:w="1900"/>
            <w:shd w:fill="F7FAFC"/>
          </w:tcPr>
          <w:p>
            <w:pPr>
              <w:spacing w:after="0"/>
            </w:pPr>
            <w:r>
              <w:rPr>
                <w:rFonts w:ascii="Aptos" w:hAnsi="Aptos"/>
                <w:color w:val="24303C"/>
                <w:sz w:val="19"/>
              </w:rPr>
              <w:t>Exécution</w:t>
            </w:r>
          </w:p>
        </w:tc>
        <w:tc>
          <w:tcPr>
            <w:tcW w:type="dxa" w:w="7460"/>
            <w:shd w:fill="F7FAFC"/>
          </w:tcPr>
          <w:p>
            <w:pPr>
              <w:spacing w:after="0"/>
            </w:pPr>
            <w:r>
              <w:rPr>
                <w:rFonts w:ascii="Aptos" w:hAnsi="Aptos"/>
                <w:color w:val="24303C"/>
                <w:sz w:val="19"/>
              </w:rPr>
              <w:t>Workflows guidés pour les demandes de fonds, ventes, livraisons, factures, chantiers et contrats de placement.</w:t>
            </w:r>
          </w:p>
        </w:tc>
      </w:tr>
      <w:tr>
        <w:tc>
          <w:tcPr>
            <w:tcW w:type="dxa" w:w="1900"/>
          </w:tcPr>
          <w:p>
            <w:pPr>
              <w:spacing w:after="0"/>
            </w:pPr>
            <w:r>
              <w:rPr>
                <w:rFonts w:ascii="Aptos" w:hAnsi="Aptos"/>
                <w:color w:val="24303C"/>
                <w:sz w:val="19"/>
              </w:rPr>
              <w:t>Contrôle</w:t>
            </w:r>
          </w:p>
        </w:tc>
        <w:tc>
          <w:tcPr>
            <w:tcW w:type="dxa" w:w="7460"/>
          </w:tcPr>
          <w:p>
            <w:pPr>
              <w:spacing w:after="0"/>
            </w:pPr>
            <w:r>
              <w:rPr>
                <w:rFonts w:ascii="Aptos" w:hAnsi="Aptos"/>
                <w:color w:val="24303C"/>
                <w:sz w:val="19"/>
              </w:rPr>
              <w:t>Permissions par rôle, validation des opérations sensibles et journal d’audit.</w:t>
            </w:r>
          </w:p>
        </w:tc>
      </w:tr>
      <w:tr>
        <w:tc>
          <w:tcPr>
            <w:tcW w:type="dxa" w:w="1900"/>
            <w:shd w:fill="F7FAFC"/>
          </w:tcPr>
          <w:p>
            <w:pPr>
              <w:spacing w:after="0"/>
            </w:pPr>
            <w:r>
              <w:rPr>
                <w:rFonts w:ascii="Aptos" w:hAnsi="Aptos"/>
                <w:color w:val="24303C"/>
                <w:sz w:val="19"/>
              </w:rPr>
              <w:t>Rentabilité</w:t>
            </w:r>
          </w:p>
        </w:tc>
        <w:tc>
          <w:tcPr>
            <w:tcW w:type="dxa" w:w="7460"/>
            <w:shd w:fill="F7FAFC"/>
          </w:tcPr>
          <w:p>
            <w:pPr>
              <w:spacing w:after="0"/>
            </w:pPr>
            <w:r>
              <w:rPr>
                <w:rFonts w:ascii="Aptos" w:hAnsi="Aptos"/>
                <w:color w:val="24303C"/>
                <w:sz w:val="19"/>
              </w:rPr>
              <w:t>Calculs de marges sur ventes, projets, contrats de placement et factures.</w:t>
            </w:r>
          </w:p>
        </w:tc>
      </w:tr>
      <w:tr>
        <w:tc>
          <w:tcPr>
            <w:tcW w:type="dxa" w:w="1900"/>
          </w:tcPr>
          <w:p>
            <w:pPr>
              <w:spacing w:after="0"/>
            </w:pPr>
            <w:r>
              <w:rPr>
                <w:rFonts w:ascii="Aptos" w:hAnsi="Aptos"/>
                <w:color w:val="24303C"/>
                <w:sz w:val="19"/>
              </w:rPr>
              <w:t>Traçabilité</w:t>
            </w:r>
          </w:p>
        </w:tc>
        <w:tc>
          <w:tcPr>
            <w:tcW w:type="dxa" w:w="7460"/>
          </w:tcPr>
          <w:p>
            <w:pPr>
              <w:spacing w:after="0"/>
            </w:pPr>
            <w:r>
              <w:rPr>
                <w:rFonts w:ascii="Aptos" w:hAnsi="Aptos"/>
                <w:color w:val="24303C"/>
                <w:sz w:val="19"/>
              </w:rPr>
              <w:t>Références automatiques, statuts, historiques, pièces justificatives et notifications.</w:t>
            </w:r>
          </w:p>
        </w:tc>
      </w:tr>
    </w:tbl>
    <w:p>
      <w:pPr>
        <w:spacing w:after="20"/>
      </w:pPr>
    </w:p>
    <w:p>
      <w:pPr>
        <w:pStyle w:val="Heading1"/>
      </w:pPr>
      <w:r>
        <w:t>2. Périmètre fonctionnel</w:t>
      </w:r>
    </w:p>
    <w:tbl>
      <w:tblPr>
        <w:tblStyle w:val="TableGrid"/>
        <w:tblW w:type="dxa" w:w="9360"/>
        <w:jc w:val="left"/>
        <w:tblLayout w:type="fixed"/>
        <w:tblLook w:firstColumn="1" w:firstRow="1" w:lastColumn="0" w:lastRow="0" w:noHBand="0" w:noVBand="1" w:val="04A0"/>
        <w:tblInd w:w="120" w:type="dxa"/>
      </w:tblPr>
      <w:tblGrid>
        <w:gridCol w:w="1650"/>
        <w:gridCol w:w="4650"/>
        <w:gridCol w:w="3060"/>
      </w:tblGrid>
      <w:tr>
        <w:trPr>
          <w:tblHeader w:val="true"/>
        </w:trPr>
        <w:tc>
          <w:tcPr>
            <w:tcW w:type="dxa" w:w="1650"/>
            <w:vAlign w:val="center"/>
            <w:tcMar>
              <w:top w:w="90" w:type="dxa"/>
              <w:start w:w="120" w:type="dxa"/>
              <w:bottom w:w="90" w:type="dxa"/>
              <w:end w:w="120" w:type="dxa"/>
            </w:tcMar>
            <w:shd w:fill="17324D"/>
          </w:tcPr>
          <w:p>
            <w:pPr>
              <w:spacing w:after="0"/>
            </w:pPr>
            <w:r>
              <w:rPr>
                <w:rFonts w:ascii="Aptos" w:hAnsi="Aptos"/>
                <w:b/>
                <w:color w:val="FFFFFF"/>
                <w:sz w:val="17"/>
              </w:rPr>
              <w:t>Domaine</w:t>
            </w:r>
          </w:p>
        </w:tc>
        <w:tc>
          <w:tcPr>
            <w:tcW w:type="dxa" w:w="4650"/>
            <w:vAlign w:val="center"/>
            <w:tcMar>
              <w:top w:w="90" w:type="dxa"/>
              <w:start w:w="120" w:type="dxa"/>
              <w:bottom w:w="90" w:type="dxa"/>
              <w:end w:w="120" w:type="dxa"/>
            </w:tcMar>
            <w:shd w:fill="17324D"/>
          </w:tcPr>
          <w:p>
            <w:pPr>
              <w:spacing w:after="0"/>
            </w:pPr>
            <w:r>
              <w:rPr>
                <w:rFonts w:ascii="Aptos" w:hAnsi="Aptos"/>
                <w:b/>
                <w:color w:val="FFFFFF"/>
                <w:sz w:val="17"/>
              </w:rPr>
              <w:t>Fonctions principales</w:t>
            </w:r>
          </w:p>
        </w:tc>
        <w:tc>
          <w:tcPr>
            <w:tcW w:type="dxa" w:w="3060"/>
            <w:vAlign w:val="center"/>
            <w:tcMar>
              <w:top w:w="90" w:type="dxa"/>
              <w:start w:w="120" w:type="dxa"/>
              <w:bottom w:w="90" w:type="dxa"/>
              <w:end w:w="120" w:type="dxa"/>
            </w:tcMar>
            <w:shd w:fill="17324D"/>
          </w:tcPr>
          <w:p>
            <w:pPr>
              <w:spacing w:after="0"/>
            </w:pPr>
            <w:r>
              <w:rPr>
                <w:rFonts w:ascii="Aptos" w:hAnsi="Aptos"/>
                <w:b/>
                <w:color w:val="FFFFFF"/>
                <w:sz w:val="17"/>
              </w:rPr>
              <w:t>Résultat attendu</w:t>
            </w:r>
          </w:p>
        </w:tc>
      </w:tr>
      <w:tr>
        <w:tc>
          <w:tcPr>
            <w:tcW w:type="dxa" w:w="1650"/>
          </w:tcPr>
          <w:p>
            <w:pPr>
              <w:spacing w:after="0"/>
            </w:pPr>
            <w:r>
              <w:rPr>
                <w:rFonts w:ascii="Aptos" w:hAnsi="Aptos"/>
                <w:color w:val="24303C"/>
                <w:sz w:val="17"/>
              </w:rPr>
              <w:t>Direction</w:t>
            </w:r>
          </w:p>
        </w:tc>
        <w:tc>
          <w:tcPr>
            <w:tcW w:type="dxa" w:w="4650"/>
          </w:tcPr>
          <w:p>
            <w:pPr>
              <w:spacing w:after="0"/>
            </w:pPr>
            <w:r>
              <w:rPr>
                <w:rFonts w:ascii="Aptos" w:hAnsi="Aptos"/>
                <w:color w:val="24303C"/>
                <w:sz w:val="17"/>
              </w:rPr>
              <w:t>KPI, alertes, analyses détaillées, exports PDF/Excel</w:t>
            </w:r>
          </w:p>
        </w:tc>
        <w:tc>
          <w:tcPr>
            <w:tcW w:type="dxa" w:w="3060"/>
          </w:tcPr>
          <w:p>
            <w:pPr>
              <w:spacing w:after="0"/>
            </w:pPr>
            <w:r>
              <w:rPr>
                <w:rFonts w:ascii="Aptos" w:hAnsi="Aptos"/>
                <w:color w:val="24303C"/>
                <w:sz w:val="17"/>
              </w:rPr>
              <w:t>Décisions plus rapides et suivi transversal</w:t>
            </w:r>
          </w:p>
        </w:tc>
      </w:tr>
      <w:tr>
        <w:tc>
          <w:tcPr>
            <w:tcW w:type="dxa" w:w="1650"/>
            <w:shd w:fill="F7FAFC"/>
          </w:tcPr>
          <w:p>
            <w:pPr>
              <w:spacing w:after="0"/>
            </w:pPr>
            <w:r>
              <w:rPr>
                <w:rFonts w:ascii="Aptos" w:hAnsi="Aptos"/>
                <w:color w:val="24303C"/>
                <w:sz w:val="17"/>
              </w:rPr>
              <w:t>Finance &amp; trésorerie</w:t>
            </w:r>
          </w:p>
        </w:tc>
        <w:tc>
          <w:tcPr>
            <w:tcW w:type="dxa" w:w="4650"/>
            <w:shd w:fill="F7FAFC"/>
          </w:tcPr>
          <w:p>
            <w:pPr>
              <w:spacing w:after="0"/>
            </w:pPr>
            <w:r>
              <w:rPr>
                <w:rFonts w:ascii="Aptos" w:hAnsi="Aptos"/>
                <w:color w:val="24303C"/>
                <w:sz w:val="17"/>
              </w:rPr>
              <w:t>Demandes de fonds, comptes, mouvements, transferts, rapports</w:t>
            </w:r>
          </w:p>
        </w:tc>
        <w:tc>
          <w:tcPr>
            <w:tcW w:type="dxa" w:w="3060"/>
            <w:shd w:fill="F7FAFC"/>
          </w:tcPr>
          <w:p>
            <w:pPr>
              <w:spacing w:after="0"/>
            </w:pPr>
            <w:r>
              <w:rPr>
                <w:rFonts w:ascii="Aptos" w:hAnsi="Aptos"/>
                <w:color w:val="24303C"/>
                <w:sz w:val="17"/>
              </w:rPr>
              <w:t>Maîtrise des décaissements et soldes</w:t>
            </w:r>
          </w:p>
        </w:tc>
      </w:tr>
      <w:tr>
        <w:tc>
          <w:tcPr>
            <w:tcW w:type="dxa" w:w="1650"/>
          </w:tcPr>
          <w:p>
            <w:pPr>
              <w:spacing w:after="0"/>
            </w:pPr>
            <w:r>
              <w:rPr>
                <w:rFonts w:ascii="Aptos" w:hAnsi="Aptos"/>
                <w:color w:val="24303C"/>
                <w:sz w:val="17"/>
              </w:rPr>
              <w:t>Commercial &amp; ventes</w:t>
            </w:r>
          </w:p>
        </w:tc>
        <w:tc>
          <w:tcPr>
            <w:tcW w:type="dxa" w:w="4650"/>
          </w:tcPr>
          <w:p>
            <w:pPr>
              <w:spacing w:after="0"/>
            </w:pPr>
            <w:r>
              <w:rPr>
                <w:rFonts w:ascii="Aptos" w:hAnsi="Aptos"/>
                <w:color w:val="24303C"/>
                <w:sz w:val="17"/>
              </w:rPr>
              <w:t>Clients, produits, devis, commandes, livraisons</w:t>
            </w:r>
          </w:p>
        </w:tc>
        <w:tc>
          <w:tcPr>
            <w:tcW w:type="dxa" w:w="3060"/>
          </w:tcPr>
          <w:p>
            <w:pPr>
              <w:spacing w:after="0"/>
            </w:pPr>
            <w:r>
              <w:rPr>
                <w:rFonts w:ascii="Aptos" w:hAnsi="Aptos"/>
                <w:color w:val="24303C"/>
                <w:sz w:val="17"/>
              </w:rPr>
              <w:t>Cycle de vente structuré de bout en bout</w:t>
            </w:r>
          </w:p>
        </w:tc>
      </w:tr>
      <w:tr>
        <w:tc>
          <w:tcPr>
            <w:tcW w:type="dxa" w:w="1650"/>
            <w:shd w:fill="F7FAFC"/>
          </w:tcPr>
          <w:p>
            <w:pPr>
              <w:spacing w:after="0"/>
            </w:pPr>
            <w:r>
              <w:rPr>
                <w:rFonts w:ascii="Aptos" w:hAnsi="Aptos"/>
                <w:color w:val="24303C"/>
                <w:sz w:val="17"/>
              </w:rPr>
              <w:t>Facturation</w:t>
            </w:r>
          </w:p>
        </w:tc>
        <w:tc>
          <w:tcPr>
            <w:tcW w:type="dxa" w:w="4650"/>
            <w:shd w:fill="F7FAFC"/>
          </w:tcPr>
          <w:p>
            <w:pPr>
              <w:spacing w:after="0"/>
            </w:pPr>
            <w:r>
              <w:rPr>
                <w:rFonts w:ascii="Aptos" w:hAnsi="Aptos"/>
                <w:color w:val="24303C"/>
                <w:sz w:val="17"/>
              </w:rPr>
              <w:t>Factures multi-sources, paiements partiels, échéances, impression</w:t>
            </w:r>
          </w:p>
        </w:tc>
        <w:tc>
          <w:tcPr>
            <w:tcW w:type="dxa" w:w="3060"/>
            <w:shd w:fill="F7FAFC"/>
          </w:tcPr>
          <w:p>
            <w:pPr>
              <w:spacing w:after="0"/>
            </w:pPr>
            <w:r>
              <w:rPr>
                <w:rFonts w:ascii="Aptos" w:hAnsi="Aptos"/>
                <w:color w:val="24303C"/>
                <w:sz w:val="17"/>
              </w:rPr>
              <w:t>Vision consolidée des créances et encaissements</w:t>
            </w:r>
          </w:p>
        </w:tc>
      </w:tr>
      <w:tr>
        <w:tc>
          <w:tcPr>
            <w:tcW w:type="dxa" w:w="1650"/>
          </w:tcPr>
          <w:p>
            <w:pPr>
              <w:spacing w:after="0"/>
            </w:pPr>
            <w:r>
              <w:rPr>
                <w:rFonts w:ascii="Aptos" w:hAnsi="Aptos"/>
                <w:color w:val="24303C"/>
                <w:sz w:val="17"/>
              </w:rPr>
              <w:t>Construction</w:t>
            </w:r>
          </w:p>
        </w:tc>
        <w:tc>
          <w:tcPr>
            <w:tcW w:type="dxa" w:w="4650"/>
          </w:tcPr>
          <w:p>
            <w:pPr>
              <w:spacing w:after="0"/>
            </w:pPr>
            <w:r>
              <w:rPr>
                <w:rFonts w:ascii="Aptos" w:hAnsi="Aptos"/>
                <w:color w:val="24303C"/>
                <w:sz w:val="17"/>
              </w:rPr>
              <w:t>Projets, travaux, consommables, rapports journaliers, coûts, photos</w:t>
            </w:r>
          </w:p>
        </w:tc>
        <w:tc>
          <w:tcPr>
            <w:tcW w:type="dxa" w:w="3060"/>
          </w:tcPr>
          <w:p>
            <w:pPr>
              <w:spacing w:after="0"/>
            </w:pPr>
            <w:r>
              <w:rPr>
                <w:rFonts w:ascii="Aptos" w:hAnsi="Aptos"/>
                <w:color w:val="24303C"/>
                <w:sz w:val="17"/>
              </w:rPr>
              <w:t>Pilotage physique et financier des chantiers</w:t>
            </w:r>
          </w:p>
        </w:tc>
      </w:tr>
      <w:tr>
        <w:tc>
          <w:tcPr>
            <w:tcW w:type="dxa" w:w="1650"/>
            <w:shd w:fill="F7FAFC"/>
          </w:tcPr>
          <w:p>
            <w:pPr>
              <w:spacing w:after="0"/>
            </w:pPr>
            <w:r>
              <w:rPr>
                <w:rFonts w:ascii="Aptos" w:hAnsi="Aptos"/>
                <w:color w:val="24303C"/>
                <w:sz w:val="17"/>
              </w:rPr>
              <w:t>Placement</w:t>
            </w:r>
          </w:p>
        </w:tc>
        <w:tc>
          <w:tcPr>
            <w:tcW w:type="dxa" w:w="4650"/>
            <w:shd w:fill="F7FAFC"/>
          </w:tcPr>
          <w:p>
            <w:pPr>
              <w:spacing w:after="0"/>
            </w:pPr>
            <w:r>
              <w:rPr>
                <w:rFonts w:ascii="Aptos" w:hAnsi="Aptos"/>
                <w:color w:val="24303C"/>
                <w:sz w:val="17"/>
              </w:rPr>
              <w:t>Agents, contrats, affectations, présences, facturation</w:t>
            </w:r>
          </w:p>
        </w:tc>
        <w:tc>
          <w:tcPr>
            <w:tcW w:type="dxa" w:w="3060"/>
            <w:shd w:fill="F7FAFC"/>
          </w:tcPr>
          <w:p>
            <w:pPr>
              <w:spacing w:after="0"/>
            </w:pPr>
            <w:r>
              <w:rPr>
                <w:rFonts w:ascii="Aptos" w:hAnsi="Aptos"/>
                <w:color w:val="24303C"/>
                <w:sz w:val="17"/>
              </w:rPr>
              <w:t>Suivi des effectifs placés et de la marge</w:t>
            </w:r>
          </w:p>
        </w:tc>
      </w:tr>
      <w:tr>
        <w:tc>
          <w:tcPr>
            <w:tcW w:type="dxa" w:w="1650"/>
          </w:tcPr>
          <w:p>
            <w:pPr>
              <w:spacing w:after="0"/>
            </w:pPr>
            <w:r>
              <w:rPr>
                <w:rFonts w:ascii="Aptos" w:hAnsi="Aptos"/>
                <w:color w:val="24303C"/>
                <w:sz w:val="17"/>
              </w:rPr>
              <w:t>Administration</w:t>
            </w:r>
          </w:p>
        </w:tc>
        <w:tc>
          <w:tcPr>
            <w:tcW w:type="dxa" w:w="4650"/>
          </w:tcPr>
          <w:p>
            <w:pPr>
              <w:spacing w:after="0"/>
            </w:pPr>
            <w:r>
              <w:rPr>
                <w:rFonts w:ascii="Aptos" w:hAnsi="Aptos"/>
                <w:color w:val="24303C"/>
                <w:sz w:val="17"/>
              </w:rPr>
              <w:t>Utilisateurs, rôles, permissions, audit, notifications</w:t>
            </w:r>
          </w:p>
        </w:tc>
        <w:tc>
          <w:tcPr>
            <w:tcW w:type="dxa" w:w="3060"/>
          </w:tcPr>
          <w:p>
            <w:pPr>
              <w:spacing w:after="0"/>
            </w:pPr>
            <w:r>
              <w:rPr>
                <w:rFonts w:ascii="Aptos" w:hAnsi="Aptos"/>
                <w:color w:val="24303C"/>
                <w:sz w:val="17"/>
              </w:rPr>
              <w:t>Accès maîtrisés et responsabilité claire</w:t>
            </w:r>
          </w:p>
        </w:tc>
      </w:tr>
    </w:tbl>
    <w:p>
      <w:pPr>
        <w:spacing w:after="20"/>
      </w:pPr>
    </w:p>
    <w:p>
      <w:pPr>
        <w:pStyle w:val="Heading1"/>
      </w:pPr>
      <w:r>
        <w:t>3. Utilisateurs et responsabilités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90" w:type="dxa"/>
              <w:start w:w="120" w:type="dxa"/>
              <w:bottom w:w="90" w:type="dxa"/>
              <w:end w:w="120" w:type="dxa"/>
            </w:tcMar>
            <w:shd w:fill="17324D"/>
          </w:tcPr>
          <w:p>
            <w:pPr>
              <w:spacing w:after="0"/>
            </w:pPr>
            <w:r>
              <w:rPr>
                <w:rFonts w:ascii="Aptos" w:hAnsi="Aptos"/>
                <w:b/>
                <w:color w:val="FFFFFF"/>
                <w:sz w:val="19"/>
              </w:rPr>
              <w:t>Rôle</w:t>
            </w:r>
          </w:p>
        </w:tc>
        <w:tc>
          <w:tcPr>
            <w:tcW w:type="dxa" w:w="6760"/>
            <w:vAlign w:val="center"/>
            <w:tcMar>
              <w:top w:w="90" w:type="dxa"/>
              <w:start w:w="120" w:type="dxa"/>
              <w:bottom w:w="90" w:type="dxa"/>
              <w:end w:w="120" w:type="dxa"/>
            </w:tcMar>
            <w:shd w:fill="17324D"/>
          </w:tcPr>
          <w:p>
            <w:pPr>
              <w:spacing w:after="0"/>
            </w:pPr>
            <w:r>
              <w:rPr>
                <w:rFonts w:ascii="Aptos" w:hAnsi="Aptos"/>
                <w:b/>
                <w:color w:val="FFFFFF"/>
                <w:sz w:val="19"/>
              </w:rPr>
              <w:t>Responsabilités dominantes</w:t>
            </w:r>
          </w:p>
        </w:tc>
      </w:tr>
      <w:tr>
        <w:tc>
          <w:tcPr>
            <w:tcW w:type="dxa" w:w="2600"/>
          </w:tcPr>
          <w:p>
            <w:pPr>
              <w:spacing w:after="0"/>
            </w:pPr>
            <w:r>
              <w:rPr>
                <w:rFonts w:ascii="Aptos" w:hAnsi="Aptos"/>
                <w:color w:val="24303C"/>
                <w:sz w:val="19"/>
              </w:rPr>
              <w:t>Super Admin</w:t>
            </w:r>
          </w:p>
        </w:tc>
        <w:tc>
          <w:tcPr>
            <w:tcW w:type="dxa" w:w="6760"/>
          </w:tcPr>
          <w:p>
            <w:pPr>
              <w:spacing w:after="0"/>
            </w:pPr>
            <w:r>
              <w:rPr>
                <w:rFonts w:ascii="Aptos" w:hAnsi="Aptos"/>
                <w:color w:val="24303C"/>
                <w:sz w:val="19"/>
              </w:rPr>
              <w:t>Administration complète, configuration des accès et supervision générale.</w:t>
            </w:r>
          </w:p>
        </w:tc>
      </w:tr>
      <w:tr>
        <w:tc>
          <w:tcPr>
            <w:tcW w:type="dxa" w:w="2600"/>
            <w:shd w:fill="F7FAFC"/>
          </w:tcPr>
          <w:p>
            <w:pPr>
              <w:spacing w:after="0"/>
            </w:pPr>
            <w:r>
              <w:rPr>
                <w:rFonts w:ascii="Aptos" w:hAnsi="Aptos"/>
                <w:color w:val="24303C"/>
                <w:sz w:val="19"/>
              </w:rPr>
              <w:t>Direction</w:t>
            </w:r>
          </w:p>
        </w:tc>
        <w:tc>
          <w:tcPr>
            <w:tcW w:type="dxa" w:w="6760"/>
            <w:shd w:fill="F7FAFC"/>
          </w:tcPr>
          <w:p>
            <w:pPr>
              <w:spacing w:after="0"/>
            </w:pPr>
            <w:r>
              <w:rPr>
                <w:rFonts w:ascii="Aptos" w:hAnsi="Aptos"/>
                <w:color w:val="24303C"/>
                <w:sz w:val="19"/>
              </w:rPr>
              <w:t>Arbitrage, approbation des demandes, consultation des rapports et de l’audit.</w:t>
            </w:r>
          </w:p>
        </w:tc>
      </w:tr>
      <w:tr>
        <w:tc>
          <w:tcPr>
            <w:tcW w:type="dxa" w:w="2600"/>
          </w:tcPr>
          <w:p>
            <w:pPr>
              <w:spacing w:after="0"/>
            </w:pPr>
            <w:r>
              <w:rPr>
                <w:rFonts w:ascii="Aptos" w:hAnsi="Aptos"/>
                <w:color w:val="24303C"/>
                <w:sz w:val="19"/>
              </w:rPr>
              <w:t>Finance</w:t>
            </w:r>
          </w:p>
        </w:tc>
        <w:tc>
          <w:tcPr>
            <w:tcW w:type="dxa" w:w="6760"/>
          </w:tcPr>
          <w:p>
            <w:pPr>
              <w:spacing w:after="0"/>
            </w:pPr>
            <w:r>
              <w:rPr>
                <w:rFonts w:ascii="Aptos" w:hAnsi="Aptos"/>
                <w:color w:val="24303C"/>
                <w:sz w:val="19"/>
              </w:rPr>
              <w:t>Facturation, encaissements, reporting financier et gestion de comptes autorisés.</w:t>
            </w:r>
          </w:p>
        </w:tc>
      </w:tr>
      <w:tr>
        <w:tc>
          <w:tcPr>
            <w:tcW w:type="dxa" w:w="2600"/>
            <w:shd w:fill="F7FAFC"/>
          </w:tcPr>
          <w:p>
            <w:pPr>
              <w:spacing w:after="0"/>
            </w:pPr>
            <w:r>
              <w:rPr>
                <w:rFonts w:ascii="Aptos" w:hAnsi="Aptos"/>
                <w:color w:val="24303C"/>
                <w:sz w:val="19"/>
              </w:rPr>
              <w:t>Responsable Caisse/Banque</w:t>
            </w:r>
          </w:p>
        </w:tc>
        <w:tc>
          <w:tcPr>
            <w:tcW w:type="dxa" w:w="6760"/>
            <w:shd w:fill="F7FAFC"/>
          </w:tcPr>
          <w:p>
            <w:pPr>
              <w:spacing w:after="0"/>
            </w:pPr>
            <w:r>
              <w:rPr>
                <w:rFonts w:ascii="Aptos" w:hAnsi="Aptos"/>
                <w:color w:val="24303C"/>
                <w:sz w:val="19"/>
              </w:rPr>
              <w:t>Paiement des demandes approuvées et suivi des mouvements.</w:t>
            </w:r>
          </w:p>
        </w:tc>
      </w:tr>
      <w:tr>
        <w:tc>
          <w:tcPr>
            <w:tcW w:type="dxa" w:w="2600"/>
          </w:tcPr>
          <w:p>
            <w:pPr>
              <w:spacing w:after="0"/>
            </w:pPr>
            <w:r>
              <w:rPr>
                <w:rFonts w:ascii="Aptos" w:hAnsi="Aptos"/>
                <w:color w:val="24303C"/>
                <w:sz w:val="19"/>
              </w:rPr>
              <w:t>Chef de Projet</w:t>
            </w:r>
          </w:p>
        </w:tc>
        <w:tc>
          <w:tcPr>
            <w:tcW w:type="dxa" w:w="6760"/>
          </w:tcPr>
          <w:p>
            <w:pPr>
              <w:spacing w:after="0"/>
            </w:pPr>
            <w:r>
              <w:rPr>
                <w:rFonts w:ascii="Aptos" w:hAnsi="Aptos"/>
                <w:color w:val="24303C"/>
                <w:sz w:val="19"/>
              </w:rPr>
              <w:t>Création et suivi des projets, rapports journaliers et demandes liées aux chantiers.</w:t>
            </w:r>
          </w:p>
        </w:tc>
      </w:tr>
      <w:tr>
        <w:tc>
          <w:tcPr>
            <w:tcW w:type="dxa" w:w="2600"/>
            <w:shd w:fill="F7FAFC"/>
          </w:tcPr>
          <w:p>
            <w:pPr>
              <w:spacing w:after="0"/>
            </w:pPr>
            <w:r>
              <w:rPr>
                <w:rFonts w:ascii="Aptos" w:hAnsi="Aptos"/>
                <w:color w:val="24303C"/>
                <w:sz w:val="19"/>
              </w:rPr>
              <w:t>RH Placement</w:t>
            </w:r>
          </w:p>
        </w:tc>
        <w:tc>
          <w:tcPr>
            <w:tcW w:type="dxa" w:w="6760"/>
            <w:shd w:fill="F7FAFC"/>
          </w:tcPr>
          <w:p>
            <w:pPr>
              <w:spacing w:after="0"/>
            </w:pPr>
            <w:r>
              <w:rPr>
                <w:rFonts w:ascii="Aptos" w:hAnsi="Aptos"/>
                <w:color w:val="24303C"/>
                <w:sz w:val="19"/>
              </w:rPr>
              <w:t>Agents, contrats, présences et facturation du personnel placé.</w:t>
            </w:r>
          </w:p>
        </w:tc>
      </w:tr>
      <w:tr>
        <w:tc>
          <w:tcPr>
            <w:tcW w:type="dxa" w:w="2600"/>
          </w:tcPr>
          <w:p>
            <w:pPr>
              <w:spacing w:after="0"/>
            </w:pPr>
            <w:r>
              <w:rPr>
                <w:rFonts w:ascii="Aptos" w:hAnsi="Aptos"/>
                <w:color w:val="24303C"/>
                <w:sz w:val="19"/>
              </w:rPr>
              <w:t>Commercial</w:t>
            </w:r>
          </w:p>
        </w:tc>
        <w:tc>
          <w:tcPr>
            <w:tcW w:type="dxa" w:w="6760"/>
          </w:tcPr>
          <w:p>
            <w:pPr>
              <w:spacing w:after="0"/>
            </w:pPr>
            <w:r>
              <w:rPr>
                <w:rFonts w:ascii="Aptos" w:hAnsi="Aptos"/>
                <w:color w:val="24303C"/>
                <w:sz w:val="19"/>
              </w:rPr>
              <w:t>Clients, produits, devis, commandes et suivi du portefeuille commercial.</w:t>
            </w:r>
          </w:p>
        </w:tc>
      </w:tr>
      <w:tr>
        <w:tc>
          <w:tcPr>
            <w:tcW w:type="dxa" w:w="2600"/>
            <w:shd w:fill="F7FAFC"/>
          </w:tcPr>
          <w:p>
            <w:pPr>
              <w:spacing w:after="0"/>
            </w:pPr>
            <w:r>
              <w:rPr>
                <w:rFonts w:ascii="Aptos" w:hAnsi="Aptos"/>
                <w:color w:val="24303C"/>
                <w:sz w:val="19"/>
              </w:rPr>
              <w:t>Logistique</w:t>
            </w:r>
          </w:p>
        </w:tc>
        <w:tc>
          <w:tcPr>
            <w:tcW w:type="dxa" w:w="6760"/>
            <w:shd w:fill="F7FAFC"/>
          </w:tcPr>
          <w:p>
            <w:pPr>
              <w:spacing w:after="0"/>
            </w:pPr>
            <w:r>
              <w:rPr>
                <w:rFonts w:ascii="Aptos" w:hAnsi="Aptos"/>
                <w:color w:val="24303C"/>
                <w:sz w:val="19"/>
              </w:rPr>
              <w:t>Préparation des livraisons et suivi des quantités livrées.</w:t>
            </w:r>
          </w:p>
        </w:tc>
      </w:tr>
    </w:tbl>
    <w:p>
      <w:pPr>
        <w:spacing w:after="20"/>
      </w:pPr>
    </w:p>
    <w:p>
      <w:pPr>
        <w:sectPr>
          <w:headerReference w:type="default" r:id="rId9"/>
          <w:footerReference w:type="default" r:id="rId10"/>
          <w:pgSz w:w="12240" w:h="15840"/>
          <w:pgMar w:top="1152" w:right="1296" w:bottom="1080" w:left="1296" w:header="504" w:footer="504" w:gutter="0"/>
          <w:cols w:space="720"/>
          <w:docGrid w:linePitch="360"/>
        </w:sectPr>
      </w:pPr>
    </w:p>
    <w:p>
      <w:pPr>
        <w:spacing w:before="80" w:after="60"/>
      </w:pPr>
      <w:r>
        <w:rPr>
          <w:rFonts w:ascii="Aptos" w:hAnsi="Aptos"/>
          <w:b/>
          <w:color w:val="159A9C"/>
          <w:sz w:val="17"/>
        </w:rPr>
        <w:t>CHAÎNE DE VALEUR</w:t>
      </w:r>
    </w:p>
    <w:p>
      <w:pPr>
        <w:pStyle w:val="Heading1"/>
      </w:pPr>
      <w:r>
        <w:t>4. Workflows métier structurants</w:t>
      </w:r>
    </w:p>
    <w:p>
      <w:pPr>
        <w:pStyle w:val="Heading2"/>
      </w:pPr>
      <w:r>
        <w:t>Demande de fonds</w:t>
      </w:r>
    </w:p>
    <w:p>
      <w:pPr>
        <w:pStyle w:val="ListNumber"/>
      </w:pPr>
      <w:r>
        <w:t>Le demandeur saisit le besoin, le service, le montant, la devise, la date souhaitée et éventuellement un justificatif.</w:t>
      </w:r>
    </w:p>
    <w:p>
      <w:pPr>
        <w:pStyle w:val="ListNumber"/>
      </w:pPr>
      <w:r>
        <w:t>La demande est enregistrée en brouillon ou soumise à la Direction.</w:t>
      </w:r>
    </w:p>
    <w:p>
      <w:pPr>
        <w:pStyle w:val="ListNumber"/>
      </w:pPr>
      <w:r>
        <w:t>La Direction approuve en affectant un compte compatible avec la devise, ou rejette avec un motif obligatoire.</w:t>
      </w:r>
    </w:p>
    <w:p>
      <w:pPr>
        <w:pStyle w:val="ListNumber"/>
      </w:pPr>
      <w:r>
        <w:t>Le responsable du compte confirme le paiement et peut joindre une preuve.</w:t>
      </w:r>
    </w:p>
    <w:p>
      <w:pPr>
        <w:pStyle w:val="ListNumber"/>
      </w:pPr>
      <w:r>
        <w:t>Le système crée automatiquement le mouvement de trésorerie et conserve l’historique.</w:t>
      </w:r>
    </w:p>
    <w:p>
      <w:pPr>
        <w:pStyle w:val="Heading2"/>
      </w:pPr>
      <w:r>
        <w:t>Cycle commercial</w:t>
      </w:r>
    </w:p>
    <w:p>
      <w:pPr>
        <w:pStyle w:val="ListNumber"/>
      </w:pPr>
      <w:r>
        <w:t>Création du client et du catalogue de produits ou prestations.</w:t>
      </w:r>
    </w:p>
    <w:p>
      <w:pPr>
        <w:pStyle w:val="ListNumber"/>
      </w:pPr>
      <w:r>
        <w:t>Établissement du devis avec prix, coûts, taxes et marge estimée.</w:t>
      </w:r>
    </w:p>
    <w:p>
      <w:pPr>
        <w:pStyle w:val="ListNumber"/>
      </w:pPr>
      <w:r>
        <w:t>Validation puis conversion du devis en commande.</w:t>
      </w:r>
    </w:p>
    <w:p>
      <w:pPr>
        <w:pStyle w:val="ListNumber"/>
      </w:pPr>
      <w:r>
        <w:t>Livraison partielle ou totale selon les quantités réellement expédiées.</w:t>
      </w:r>
    </w:p>
    <w:p>
      <w:pPr>
        <w:pStyle w:val="ListNumber"/>
      </w:pPr>
      <w:r>
        <w:t>Génération de facture, encaissements partiels ou complets et clôture.</w:t>
      </w:r>
    </w:p>
    <w:p>
      <w:pPr>
        <w:pStyle w:val="Heading2"/>
      </w:pPr>
      <w:r>
        <w:t>Chantier</w:t>
      </w:r>
    </w:p>
    <w:p>
      <w:pPr>
        <w:pStyle w:val="ListNumber"/>
      </w:pPr>
      <w:r>
        <w:t>Création du projet avec contrat, budget prévisionnel, planning et chef de projet.</w:t>
      </w:r>
    </w:p>
    <w:p>
      <w:pPr>
        <w:pStyle w:val="ListNumber"/>
      </w:pPr>
      <w:r>
        <w:t>Définition des travaux et consommables prévus.</w:t>
      </w:r>
    </w:p>
    <w:p>
      <w:pPr>
        <w:pStyle w:val="ListNumber"/>
      </w:pPr>
      <w:r>
        <w:t>Saisie quotidienne des quantités exécutées, consommations, dépenses, blocages et photos.</w:t>
      </w:r>
    </w:p>
    <w:p>
      <w:pPr>
        <w:pStyle w:val="ListNumber"/>
      </w:pPr>
      <w:r>
        <w:t>Calcul des avancements physique et financier, écarts de consommation, marge et retard.</w:t>
      </w:r>
    </w:p>
    <w:p>
      <w:pPr>
        <w:pStyle w:val="ListNumber"/>
      </w:pPr>
      <w:r>
        <w:t>Consultation du cockpit et des rapports de construction.</w:t>
      </w:r>
    </w:p>
    <w:p>
      <w:pPr>
        <w:pStyle w:val="Heading2"/>
      </w:pPr>
      <w:r>
        <w:t>Placement du personnel</w:t>
      </w:r>
    </w:p>
    <w:p>
      <w:pPr>
        <w:pStyle w:val="ListNumber"/>
      </w:pPr>
      <w:r>
        <w:t>Enregistrement des agents et de leurs informations professionnelles.</w:t>
      </w:r>
    </w:p>
    <w:p>
      <w:pPr>
        <w:pStyle w:val="ListNumber"/>
      </w:pPr>
      <w:r>
        <w:t>Création du contrat client et affectation des agents avec coût et tarif client.</w:t>
      </w:r>
    </w:p>
    <w:p>
      <w:pPr>
        <w:pStyle w:val="ListNumber"/>
      </w:pPr>
      <w:r>
        <w:t>Suivi mensuel des jours présents, absences et heures supplémentaires.</w:t>
      </w:r>
    </w:p>
    <w:p>
      <w:pPr>
        <w:pStyle w:val="ListNumber"/>
      </w:pPr>
      <w:r>
        <w:t>Génération des factures de placement et contrôle de la marge.</w:t>
      </w:r>
    </w:p>
    <w:p>
      <w:pPr>
        <w:pStyle w:val="Heading1"/>
      </w:pPr>
      <w:r>
        <w:t>5. Tableau de bord de Direction</w:t>
      </w:r>
    </w:p>
    <w:p>
      <w:r>
        <w:t>La page d’accueil est conçue comme un cockpit décisionnel. Les cartes sont interactives et ouvrent des analyses détaillées exportables.</w:t>
      </w:r>
    </w:p>
    <w:p>
      <w:pPr>
        <w:pStyle w:val="ListBullet"/>
        <w:ind w:left="547"/>
      </w:pPr>
      <w:r>
        <w:t>Soldes consolidés des caisses et banques.</w:t>
      </w:r>
    </w:p>
    <w:p>
      <w:pPr>
        <w:pStyle w:val="ListBullet"/>
        <w:ind w:left="547"/>
      </w:pPr>
      <w:r>
        <w:t>Demandes financières en attente et dépenses du mois.</w:t>
      </w:r>
    </w:p>
    <w:p>
      <w:pPr>
        <w:pStyle w:val="ListBullet"/>
        <w:ind w:left="547"/>
      </w:pPr>
      <w:r>
        <w:t>Revenus mensuels, factures impayées et marge globale estimée.</w:t>
      </w:r>
    </w:p>
    <w:p>
      <w:pPr>
        <w:pStyle w:val="ListBullet"/>
        <w:ind w:left="547"/>
      </w:pPr>
      <w:r>
        <w:t>Projets de construction actifs, avancement moyen et dossiers critiques.</w:t>
      </w:r>
    </w:p>
    <w:p>
      <w:pPr>
        <w:pStyle w:val="ListBullet"/>
        <w:ind w:left="547"/>
      </w:pPr>
      <w:r>
        <w:t>Personnel placé actif, commandes ouvertes et livraisons à traiter.</w:t>
      </w:r>
    </w:p>
    <w:p>
      <w:pPr>
        <w:pStyle w:val="ListBullet"/>
        <w:ind w:left="547"/>
      </w:pPr>
      <w:r>
        <w:t>Graphiques revenus/dépenses, structure des coûts et alertes prioritaires.</w:t>
      </w:r>
    </w:p>
    <w:p>
      <w:pPr>
        <w:sectPr>
          <w:pgSz w:w="12240" w:h="15840"/>
          <w:pgMar w:top="1152" w:right="1296" w:bottom="1080" w:left="1296" w:header="504" w:footer="504" w:gutter="0"/>
          <w:cols w:space="720"/>
          <w:docGrid w:linePitch="360"/>
        </w:sectPr>
      </w:pPr>
    </w:p>
    <w:p>
      <w:pPr>
        <w:spacing w:before="80" w:after="60"/>
      </w:pPr>
      <w:r>
        <w:rPr>
          <w:rFonts w:ascii="Aptos" w:hAnsi="Aptos"/>
          <w:b/>
          <w:color w:val="159A9C"/>
          <w:sz w:val="17"/>
        </w:rPr>
        <w:t>CONCEPTION ET CONTRÔLE</w:t>
      </w:r>
    </w:p>
    <w:p>
      <w:pPr>
        <w:pStyle w:val="Heading1"/>
      </w:pPr>
      <w:r>
        <w:t>6. Architecture observée</w:t>
      </w:r>
    </w:p>
    <w:p>
      <w:r>
        <w:t>L’application suit une architecture MVC PHP légère : le routeur distribue les requêtes aux contrôleurs, les modèles accèdent à MySQL via PDO et les vues PHP rendent l’interface. Les permissions sont contrôlées au niveau des routes et de la navigation.</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vAlign w:val="center"/>
            <w:tcMar>
              <w:top w:w="90" w:type="dxa"/>
              <w:start w:w="120" w:type="dxa"/>
              <w:bottom w:w="90" w:type="dxa"/>
              <w:end w:w="120" w:type="dxa"/>
            </w:tcMar>
            <w:shd w:fill="17324D"/>
          </w:tcPr>
          <w:p>
            <w:pPr>
              <w:spacing w:after="0"/>
            </w:pPr>
            <w:r>
              <w:rPr>
                <w:rFonts w:ascii="Aptos" w:hAnsi="Aptos"/>
                <w:b/>
                <w:color w:val="FFFFFF"/>
                <w:sz w:val="19"/>
              </w:rPr>
              <w:t>Couche</w:t>
            </w:r>
          </w:p>
        </w:tc>
        <w:tc>
          <w:tcPr>
            <w:tcW w:type="dxa" w:w="7510"/>
            <w:vAlign w:val="center"/>
            <w:tcMar>
              <w:top w:w="90" w:type="dxa"/>
              <w:start w:w="120" w:type="dxa"/>
              <w:bottom w:w="90" w:type="dxa"/>
              <w:end w:w="120" w:type="dxa"/>
            </w:tcMar>
            <w:shd w:fill="17324D"/>
          </w:tcPr>
          <w:p>
            <w:pPr>
              <w:spacing w:after="0"/>
            </w:pPr>
            <w:r>
              <w:rPr>
                <w:rFonts w:ascii="Aptos" w:hAnsi="Aptos"/>
                <w:b/>
                <w:color w:val="FFFFFF"/>
                <w:sz w:val="19"/>
              </w:rPr>
              <w:t>Composants observés</w:t>
            </w:r>
          </w:p>
        </w:tc>
      </w:tr>
      <w:tr>
        <w:tc>
          <w:tcPr>
            <w:tcW w:type="dxa" w:w="1850"/>
          </w:tcPr>
          <w:p>
            <w:pPr>
              <w:spacing w:after="0"/>
            </w:pPr>
            <w:r>
              <w:rPr>
                <w:rFonts w:ascii="Aptos" w:hAnsi="Aptos"/>
                <w:color w:val="24303C"/>
                <w:sz w:val="19"/>
              </w:rPr>
              <w:t>Interface</w:t>
            </w:r>
          </w:p>
        </w:tc>
        <w:tc>
          <w:tcPr>
            <w:tcW w:type="dxa" w:w="7510"/>
          </w:tcPr>
          <w:p>
            <w:pPr>
              <w:spacing w:after="0"/>
            </w:pPr>
            <w:r>
              <w:rPr>
                <w:rFonts w:ascii="Aptos" w:hAnsi="Aptos"/>
                <w:color w:val="24303C"/>
                <w:sz w:val="19"/>
              </w:rPr>
              <w:t>Vues PHP, CSS responsive, JavaScript pour filtres, graphiques, modales et validations.</w:t>
            </w:r>
          </w:p>
        </w:tc>
      </w:tr>
      <w:tr>
        <w:tc>
          <w:tcPr>
            <w:tcW w:type="dxa" w:w="1850"/>
            <w:shd w:fill="F7FAFC"/>
          </w:tcPr>
          <w:p>
            <w:pPr>
              <w:spacing w:after="0"/>
            </w:pPr>
            <w:r>
              <w:rPr>
                <w:rFonts w:ascii="Aptos" w:hAnsi="Aptos"/>
                <w:color w:val="24303C"/>
                <w:sz w:val="19"/>
              </w:rPr>
              <w:t>Application</w:t>
            </w:r>
          </w:p>
        </w:tc>
        <w:tc>
          <w:tcPr>
            <w:tcW w:type="dxa" w:w="7510"/>
            <w:shd w:fill="F7FAFC"/>
          </w:tcPr>
          <w:p>
            <w:pPr>
              <w:spacing w:after="0"/>
            </w:pPr>
            <w:r>
              <w:rPr>
                <w:rFonts w:ascii="Aptos" w:hAnsi="Aptos"/>
                <w:color w:val="24303C"/>
                <w:sz w:val="19"/>
              </w:rPr>
              <w:t>Contrôleurs métier, routeur, middlewares d’authentification et de permissions.</w:t>
            </w:r>
          </w:p>
        </w:tc>
      </w:tr>
      <w:tr>
        <w:tc>
          <w:tcPr>
            <w:tcW w:type="dxa" w:w="1850"/>
          </w:tcPr>
          <w:p>
            <w:pPr>
              <w:spacing w:after="0"/>
            </w:pPr>
            <w:r>
              <w:rPr>
                <w:rFonts w:ascii="Aptos" w:hAnsi="Aptos"/>
                <w:color w:val="24303C"/>
                <w:sz w:val="19"/>
              </w:rPr>
              <w:t>Données</w:t>
            </w:r>
          </w:p>
        </w:tc>
        <w:tc>
          <w:tcPr>
            <w:tcW w:type="dxa" w:w="7510"/>
          </w:tcPr>
          <w:p>
            <w:pPr>
              <w:spacing w:after="0"/>
            </w:pPr>
            <w:r>
              <w:rPr>
                <w:rFonts w:ascii="Aptos" w:hAnsi="Aptos"/>
                <w:color w:val="24303C"/>
                <w:sz w:val="19"/>
              </w:rPr>
              <w:t>Modèles PHP, PDO, requêtes préparées et base MySQL structurée par migrations.</w:t>
            </w:r>
          </w:p>
        </w:tc>
      </w:tr>
      <w:tr>
        <w:tc>
          <w:tcPr>
            <w:tcW w:type="dxa" w:w="1850"/>
            <w:shd w:fill="F7FAFC"/>
          </w:tcPr>
          <w:p>
            <w:pPr>
              <w:spacing w:after="0"/>
            </w:pPr>
            <w:r>
              <w:rPr>
                <w:rFonts w:ascii="Aptos" w:hAnsi="Aptos"/>
                <w:color w:val="24303C"/>
                <w:sz w:val="19"/>
              </w:rPr>
              <w:t>Sécurité</w:t>
            </w:r>
          </w:p>
        </w:tc>
        <w:tc>
          <w:tcPr>
            <w:tcW w:type="dxa" w:w="7510"/>
            <w:shd w:fill="F7FAFC"/>
          </w:tcPr>
          <w:p>
            <w:pPr>
              <w:spacing w:after="0"/>
            </w:pPr>
            <w:r>
              <w:rPr>
                <w:rFonts w:ascii="Aptos" w:hAnsi="Aptos"/>
                <w:color w:val="24303C"/>
                <w:sz w:val="19"/>
              </w:rPr>
              <w:t>Sessions, timeout, CSRF, échappement HTML, contrôle des uploads et journal d’audit.</w:t>
            </w:r>
          </w:p>
        </w:tc>
      </w:tr>
      <w:tr>
        <w:tc>
          <w:tcPr>
            <w:tcW w:type="dxa" w:w="1850"/>
          </w:tcPr>
          <w:p>
            <w:pPr>
              <w:spacing w:after="0"/>
            </w:pPr>
            <w:r>
              <w:rPr>
                <w:rFonts w:ascii="Aptos" w:hAnsi="Aptos"/>
                <w:color w:val="24303C"/>
                <w:sz w:val="19"/>
              </w:rPr>
              <w:t>Documents</w:t>
            </w:r>
          </w:p>
        </w:tc>
        <w:tc>
          <w:tcPr>
            <w:tcW w:type="dxa" w:w="7510"/>
          </w:tcPr>
          <w:p>
            <w:pPr>
              <w:spacing w:after="0"/>
            </w:pPr>
            <w:r>
              <w:rPr>
                <w:rFonts w:ascii="Aptos" w:hAnsi="Aptos"/>
                <w:color w:val="24303C"/>
                <w:sz w:val="19"/>
              </w:rPr>
              <w:t>Exports PDF/Excel, impression de factures et gestion de pièces justificatives.</w:t>
            </w:r>
          </w:p>
        </w:tc>
      </w:tr>
    </w:tbl>
    <w:p>
      <w:pPr>
        <w:spacing w:after="20"/>
      </w:pPr>
    </w:p>
    <w:p>
      <w:pPr>
        <w:pStyle w:val="Heading1"/>
      </w:pPr>
      <w:r>
        <w:t>7. Sécurité et gouvernance</w:t>
      </w:r>
    </w:p>
    <w:p>
      <w:pPr>
        <w:pStyle w:val="ListBullet"/>
        <w:ind w:left="547"/>
      </w:pPr>
      <w:r>
        <w:t>Authentification par email et mot de passe haché.</w:t>
      </w:r>
    </w:p>
    <w:p>
      <w:pPr>
        <w:pStyle w:val="ListBullet"/>
        <w:ind w:left="547"/>
      </w:pPr>
      <w:r>
        <w:t>Expiration automatique de session après 30 minutes d’inactivité.</w:t>
      </w:r>
    </w:p>
    <w:p>
      <w:pPr>
        <w:pStyle w:val="ListBullet"/>
        <w:ind w:left="547"/>
      </w:pPr>
      <w:r>
        <w:t>Contrôle d’accès fondé sur les permissions associées aux rôles.</w:t>
      </w:r>
    </w:p>
    <w:p>
      <w:pPr>
        <w:pStyle w:val="ListBullet"/>
        <w:ind w:left="547"/>
      </w:pPr>
      <w:r>
        <w:t>Jetons CSRF sur les formulaires sensibles.</w:t>
      </w:r>
    </w:p>
    <w:p>
      <w:pPr>
        <w:pStyle w:val="ListBullet"/>
        <w:ind w:left="547"/>
      </w:pPr>
      <w:r>
        <w:t>Requêtes PDO préparées et échappement des sorties HTML.</w:t>
      </w:r>
    </w:p>
    <w:p>
      <w:pPr>
        <w:pStyle w:val="ListBullet"/>
        <w:ind w:left="547"/>
      </w:pPr>
      <w:r>
        <w:t>Contrôle du type, de la taille et du format des fichiers téléversés.</w:t>
      </w:r>
    </w:p>
    <w:p>
      <w:pPr>
        <w:pStyle w:val="ListBullet"/>
        <w:ind w:left="547"/>
      </w:pPr>
      <w:r>
        <w:t>Journalisation des actions critiques et notifications internes.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E7F1F7"/>
          </w:tcPr>
          <w:p>
            <w:pPr>
              <w:spacing w:after="20"/>
            </w:pPr>
            <w:r>
              <w:rPr>
                <w:rFonts w:ascii="Aptos" w:hAnsi="Aptos"/>
                <w:b/>
                <w:color w:val="17324D"/>
                <w:sz w:val="21"/>
              </w:rPr>
              <w:t xml:space="preserve">Principe de contrôle interne  </w:t>
            </w:r>
            <w:r>
              <w:rPr>
                <w:rFonts w:ascii="Aptos" w:hAnsi="Aptos"/>
                <w:color w:val="24303C"/>
                <w:sz w:val="21"/>
              </w:rPr>
              <w:t>La séparation des rôles permet de distinguer la demande, l’approbation et le paiement, particulièrement dans le circuit des fonds.</w:t>
            </w:r>
          </w:p>
        </w:tc>
      </w:tr>
    </w:tbl>
    <w:p>
      <w:pPr>
        <w:spacing w:after="20"/>
      </w:pPr>
    </w:p>
    <w:p>
      <w:pPr>
        <w:pStyle w:val="Heading1"/>
      </w:pPr>
      <w:r>
        <w:t>8. Forces du logiciel</w:t>
      </w:r>
    </w:p>
    <w:p>
      <w:pPr>
        <w:pStyle w:val="ListBullet"/>
        <w:ind w:left="547"/>
      </w:pPr>
      <w:r>
        <w:t>Couverture fonctionnelle cohérente avec plusieurs métiers de WAKE SERVICES.</w:t>
      </w:r>
    </w:p>
    <w:p>
      <w:pPr>
        <w:pStyle w:val="ListBullet"/>
        <w:ind w:left="547"/>
      </w:pPr>
      <w:r>
        <w:t>Référentiel unifié des clients, opérations, factures et paiements.</w:t>
      </w:r>
    </w:p>
    <w:p>
      <w:pPr>
        <w:pStyle w:val="ListBullet"/>
        <w:ind w:left="547"/>
      </w:pPr>
      <w:r>
        <w:t>Workflows explicites, statuts lisibles et historique des décisions.</w:t>
      </w:r>
    </w:p>
    <w:p>
      <w:pPr>
        <w:pStyle w:val="ListBullet"/>
        <w:ind w:left="547"/>
      </w:pPr>
      <w:r>
        <w:t>Calcul de rentabilité présent dans les principaux modules.</w:t>
      </w:r>
    </w:p>
    <w:p>
      <w:pPr>
        <w:pStyle w:val="ListBullet"/>
        <w:ind w:left="547"/>
      </w:pPr>
      <w:r>
        <w:t>Interface orientée action avec filtres, alertes, tableaux et exports.</w:t>
      </w:r>
    </w:p>
    <w:p>
      <w:pPr>
        <w:pStyle w:val="ListBullet"/>
        <w:ind w:left="547"/>
      </w:pPr>
      <w:r>
        <w:t>Conception modulaire facilitant l’ajout de nouveaux domaines.</w:t>
      </w:r>
    </w:p>
    <w:p>
      <w:pPr>
        <w:pStyle w:val="Heading1"/>
      </w:pPr>
      <w:r>
        <w:t>9. Points de vigilance avant production</w:t>
      </w:r>
    </w:p>
    <w:tbl>
      <w:tblPr>
        <w:tblStyle w:val="TableGrid"/>
        <w:tblW w:type="dxa" w:w="9360"/>
        <w:jc w:val="left"/>
        <w:tblLayout w:type="fixed"/>
        <w:tblLook w:firstColumn="1" w:firstRow="1" w:lastColumn="0" w:lastRow="0" w:noHBand="0" w:noVBand="1" w:val="04A0"/>
        <w:tblInd w:w="120" w:type="dxa"/>
      </w:tblPr>
      <w:tblGrid>
        <w:gridCol w:w="1200"/>
        <w:gridCol w:w="3550"/>
        <w:gridCol w:w="4610"/>
      </w:tblGrid>
      <w:tr>
        <w:trPr>
          <w:tblHeader w:val="true"/>
        </w:trPr>
        <w:tc>
          <w:tcPr>
            <w:tcW w:type="dxa" w:w="1200"/>
            <w:vAlign w:val="center"/>
            <w:tcMar>
              <w:top w:w="90" w:type="dxa"/>
              <w:start w:w="120" w:type="dxa"/>
              <w:bottom w:w="90" w:type="dxa"/>
              <w:end w:w="120" w:type="dxa"/>
            </w:tcMar>
            <w:shd w:fill="8B3A3A"/>
          </w:tcPr>
          <w:p>
            <w:pPr>
              <w:spacing w:after="0"/>
            </w:pPr>
            <w:r>
              <w:rPr>
                <w:rFonts w:ascii="Aptos" w:hAnsi="Aptos"/>
                <w:b/>
                <w:color w:val="FFFFFF"/>
                <w:sz w:val="17"/>
              </w:rPr>
              <w:t>Priorité</w:t>
            </w:r>
          </w:p>
        </w:tc>
        <w:tc>
          <w:tcPr>
            <w:tcW w:type="dxa" w:w="3550"/>
            <w:vAlign w:val="center"/>
            <w:tcMar>
              <w:top w:w="90" w:type="dxa"/>
              <w:start w:w="120" w:type="dxa"/>
              <w:bottom w:w="90" w:type="dxa"/>
              <w:end w:w="120" w:type="dxa"/>
            </w:tcMar>
            <w:shd w:fill="8B3A3A"/>
          </w:tcPr>
          <w:p>
            <w:pPr>
              <w:spacing w:after="0"/>
            </w:pPr>
            <w:r>
              <w:rPr>
                <w:rFonts w:ascii="Aptos" w:hAnsi="Aptos"/>
                <w:b/>
                <w:color w:val="FFFFFF"/>
                <w:sz w:val="17"/>
              </w:rPr>
              <w:t>Constat</w:t>
            </w:r>
          </w:p>
        </w:tc>
        <w:tc>
          <w:tcPr>
            <w:tcW w:type="dxa" w:w="4610"/>
            <w:vAlign w:val="center"/>
            <w:tcMar>
              <w:top w:w="90" w:type="dxa"/>
              <w:start w:w="120" w:type="dxa"/>
              <w:bottom w:w="90" w:type="dxa"/>
              <w:end w:w="120" w:type="dxa"/>
            </w:tcMar>
            <w:shd w:fill="8B3A3A"/>
          </w:tcPr>
          <w:p>
            <w:pPr>
              <w:spacing w:after="0"/>
            </w:pPr>
            <w:r>
              <w:rPr>
                <w:rFonts w:ascii="Aptos" w:hAnsi="Aptos"/>
                <w:b/>
                <w:color w:val="FFFFFF"/>
                <w:sz w:val="17"/>
              </w:rPr>
              <w:t>Recommandation</w:t>
            </w:r>
          </w:p>
        </w:tc>
      </w:tr>
      <w:tr>
        <w:tc>
          <w:tcPr>
            <w:tcW w:type="dxa" w:w="1200"/>
          </w:tcPr>
          <w:p>
            <w:pPr>
              <w:spacing w:after="0"/>
            </w:pPr>
            <w:r>
              <w:rPr>
                <w:rFonts w:ascii="Aptos" w:hAnsi="Aptos"/>
                <w:color w:val="24303C"/>
                <w:sz w:val="17"/>
              </w:rPr>
              <w:t>Critique</w:t>
            </w:r>
          </w:p>
        </w:tc>
        <w:tc>
          <w:tcPr>
            <w:tcW w:type="dxa" w:w="3550"/>
          </w:tcPr>
          <w:p>
            <w:pPr>
              <w:spacing w:after="0"/>
            </w:pPr>
            <w:r>
              <w:rPr>
                <w:rFonts w:ascii="Aptos" w:hAnsi="Aptos"/>
                <w:color w:val="24303C"/>
                <w:sz w:val="17"/>
              </w:rPr>
              <w:t>Le mode debug est activé dans la configuration.</w:t>
            </w:r>
          </w:p>
        </w:tc>
        <w:tc>
          <w:tcPr>
            <w:tcW w:type="dxa" w:w="4610"/>
          </w:tcPr>
          <w:p>
            <w:pPr>
              <w:spacing w:after="0"/>
            </w:pPr>
            <w:r>
              <w:rPr>
                <w:rFonts w:ascii="Aptos" w:hAnsi="Aptos"/>
                <w:color w:val="24303C"/>
                <w:sz w:val="17"/>
              </w:rPr>
              <w:t>Désactiver APP_DEBUG et afficher des erreurs génériques en production.</w:t>
            </w:r>
          </w:p>
        </w:tc>
      </w:tr>
      <w:tr>
        <w:tc>
          <w:tcPr>
            <w:tcW w:type="dxa" w:w="1200"/>
            <w:shd w:fill="F7FAFC"/>
          </w:tcPr>
          <w:p>
            <w:pPr>
              <w:spacing w:after="0"/>
            </w:pPr>
            <w:r>
              <w:rPr>
                <w:rFonts w:ascii="Aptos" w:hAnsi="Aptos"/>
                <w:color w:val="24303C"/>
                <w:sz w:val="17"/>
              </w:rPr>
              <w:t>Critique</w:t>
            </w:r>
          </w:p>
        </w:tc>
        <w:tc>
          <w:tcPr>
            <w:tcW w:type="dxa" w:w="3550"/>
            <w:shd w:fill="F7FAFC"/>
          </w:tcPr>
          <w:p>
            <w:pPr>
              <w:spacing w:after="0"/>
            </w:pPr>
            <w:r>
              <w:rPr>
                <w:rFonts w:ascii="Aptos" w:hAnsi="Aptos"/>
                <w:color w:val="24303C"/>
                <w:sz w:val="17"/>
              </w:rPr>
              <w:t>Les paramètres de base sont inscrits dans le fichier de configuration.</w:t>
            </w:r>
          </w:p>
        </w:tc>
        <w:tc>
          <w:tcPr>
            <w:tcW w:type="dxa" w:w="4610"/>
            <w:shd w:fill="F7FAFC"/>
          </w:tcPr>
          <w:p>
            <w:pPr>
              <w:spacing w:after="0"/>
            </w:pPr>
            <w:r>
              <w:rPr>
                <w:rFonts w:ascii="Aptos" w:hAnsi="Aptos"/>
                <w:color w:val="24303C"/>
                <w:sz w:val="17"/>
              </w:rPr>
              <w:t>Charger les secrets depuis des variables d’environnement ou un gestionnaire de secrets.</w:t>
            </w:r>
          </w:p>
        </w:tc>
      </w:tr>
      <w:tr>
        <w:tc>
          <w:tcPr>
            <w:tcW w:type="dxa" w:w="1200"/>
          </w:tcPr>
          <w:p>
            <w:pPr>
              <w:spacing w:after="0"/>
            </w:pPr>
            <w:r>
              <w:rPr>
                <w:rFonts w:ascii="Aptos" w:hAnsi="Aptos"/>
                <w:color w:val="24303C"/>
                <w:sz w:val="17"/>
              </w:rPr>
              <w:t>Élevée</w:t>
            </w:r>
          </w:p>
        </w:tc>
        <w:tc>
          <w:tcPr>
            <w:tcW w:type="dxa" w:w="3550"/>
          </w:tcPr>
          <w:p>
            <w:pPr>
              <w:spacing w:after="0"/>
            </w:pPr>
            <w:r>
              <w:rPr>
                <w:rFonts w:ascii="Aptos" w:hAnsi="Aptos"/>
                <w:color w:val="24303C"/>
                <w:sz w:val="17"/>
              </w:rPr>
              <w:t>Un compte administrateur de démonstration est documenté.</w:t>
            </w:r>
          </w:p>
        </w:tc>
        <w:tc>
          <w:tcPr>
            <w:tcW w:type="dxa" w:w="4610"/>
          </w:tcPr>
          <w:p>
            <w:pPr>
              <w:spacing w:after="0"/>
            </w:pPr>
            <w:r>
              <w:rPr>
                <w:rFonts w:ascii="Aptos" w:hAnsi="Aptos"/>
                <w:color w:val="24303C"/>
                <w:sz w:val="17"/>
              </w:rPr>
              <w:t>Changer immédiatement le mot de passe et supprimer les comptes de test.</w:t>
            </w:r>
          </w:p>
        </w:tc>
      </w:tr>
      <w:tr>
        <w:tc>
          <w:tcPr>
            <w:tcW w:type="dxa" w:w="1200"/>
            <w:shd w:fill="F7FAFC"/>
          </w:tcPr>
          <w:p>
            <w:pPr>
              <w:spacing w:after="0"/>
            </w:pPr>
            <w:r>
              <w:rPr>
                <w:rFonts w:ascii="Aptos" w:hAnsi="Aptos"/>
                <w:color w:val="24303C"/>
                <w:sz w:val="17"/>
              </w:rPr>
              <w:t>Élevée</w:t>
            </w:r>
          </w:p>
        </w:tc>
        <w:tc>
          <w:tcPr>
            <w:tcW w:type="dxa" w:w="3550"/>
            <w:shd w:fill="F7FAFC"/>
          </w:tcPr>
          <w:p>
            <w:pPr>
              <w:spacing w:after="0"/>
            </w:pPr>
            <w:r>
              <w:rPr>
                <w:rFonts w:ascii="Aptos" w:hAnsi="Aptos"/>
                <w:color w:val="24303C"/>
                <w:sz w:val="17"/>
              </w:rPr>
              <w:t>La disponibilité dépend d’une base MySQL locale.</w:t>
            </w:r>
          </w:p>
        </w:tc>
        <w:tc>
          <w:tcPr>
            <w:tcW w:type="dxa" w:w="4610"/>
            <w:shd w:fill="F7FAFC"/>
          </w:tcPr>
          <w:p>
            <w:pPr>
              <w:spacing w:after="0"/>
            </w:pPr>
            <w:r>
              <w:rPr>
                <w:rFonts w:ascii="Aptos" w:hAnsi="Aptos"/>
                <w:color w:val="24303C"/>
                <w:sz w:val="17"/>
              </w:rPr>
              <w:t>Mettre en place sauvegardes automatiques, restauration testée et supervision.</w:t>
            </w:r>
          </w:p>
        </w:tc>
      </w:tr>
      <w:tr>
        <w:tc>
          <w:tcPr>
            <w:tcW w:type="dxa" w:w="1200"/>
          </w:tcPr>
          <w:p>
            <w:pPr>
              <w:spacing w:after="0"/>
            </w:pPr>
            <w:r>
              <w:rPr>
                <w:rFonts w:ascii="Aptos" w:hAnsi="Aptos"/>
                <w:color w:val="24303C"/>
                <w:sz w:val="17"/>
              </w:rPr>
              <w:t>Moyenne</w:t>
            </w:r>
          </w:p>
        </w:tc>
        <w:tc>
          <w:tcPr>
            <w:tcW w:type="dxa" w:w="3550"/>
          </w:tcPr>
          <w:p>
            <w:pPr>
              <w:spacing w:after="0"/>
            </w:pPr>
            <w:r>
              <w:rPr>
                <w:rFonts w:ascii="Aptos" w:hAnsi="Aptos"/>
                <w:color w:val="24303C"/>
                <w:sz w:val="17"/>
              </w:rPr>
              <w:t>Les exports et uploads augmentent le volume de stockage.</w:t>
            </w:r>
          </w:p>
        </w:tc>
        <w:tc>
          <w:tcPr>
            <w:tcW w:type="dxa" w:w="4610"/>
          </w:tcPr>
          <w:p>
            <w:pPr>
              <w:spacing w:after="0"/>
            </w:pPr>
            <w:r>
              <w:rPr>
                <w:rFonts w:ascii="Aptos" w:hAnsi="Aptos"/>
                <w:color w:val="24303C"/>
                <w:sz w:val="17"/>
              </w:rPr>
              <w:t>Définir rétention, quotas, antivirus et sauvegarde des pièces.</w:t>
            </w:r>
          </w:p>
        </w:tc>
      </w:tr>
      <w:tr>
        <w:tc>
          <w:tcPr>
            <w:tcW w:type="dxa" w:w="1200"/>
            <w:shd w:fill="F7FAFC"/>
          </w:tcPr>
          <w:p>
            <w:pPr>
              <w:spacing w:after="0"/>
            </w:pPr>
            <w:r>
              <w:rPr>
                <w:rFonts w:ascii="Aptos" w:hAnsi="Aptos"/>
                <w:color w:val="24303C"/>
                <w:sz w:val="17"/>
              </w:rPr>
              <w:t>Moyenne</w:t>
            </w:r>
          </w:p>
        </w:tc>
        <w:tc>
          <w:tcPr>
            <w:tcW w:type="dxa" w:w="3550"/>
            <w:shd w:fill="F7FAFC"/>
          </w:tcPr>
          <w:p>
            <w:pPr>
              <w:spacing w:after="0"/>
            </w:pPr>
            <w:r>
              <w:rPr>
                <w:rFonts w:ascii="Aptos" w:hAnsi="Aptos"/>
                <w:color w:val="24303C"/>
                <w:sz w:val="17"/>
              </w:rPr>
              <w:t>La documentation technique et les tests automatisés sont limités.</w:t>
            </w:r>
          </w:p>
        </w:tc>
        <w:tc>
          <w:tcPr>
            <w:tcW w:type="dxa" w:w="4610"/>
            <w:shd w:fill="F7FAFC"/>
          </w:tcPr>
          <w:p>
            <w:pPr>
              <w:spacing w:after="0"/>
            </w:pPr>
            <w:r>
              <w:rPr>
                <w:rFonts w:ascii="Aptos" w:hAnsi="Aptos"/>
                <w:color w:val="24303C"/>
                <w:sz w:val="17"/>
              </w:rPr>
              <w:t>Ajouter tests de régression, procédure de déploiement et journal des versions.</w:t>
            </w:r>
          </w:p>
        </w:tc>
      </w:tr>
    </w:tbl>
    <w:p>
      <w:pPr>
        <w:spacing w:after="20"/>
      </w:pPr>
    </w:p>
    <w:p>
      <w:pPr>
        <w:pStyle w:val="Heading1"/>
      </w:pPr>
      <w:r>
        <w:t>10. Feuille de route recommandée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vAlign w:val="center"/>
            <w:tcMar>
              <w:top w:w="90" w:type="dxa"/>
              <w:start w:w="120" w:type="dxa"/>
              <w:bottom w:w="90" w:type="dxa"/>
              <w:end w:w="120" w:type="dxa"/>
            </w:tcMar>
            <w:shd w:fill="17324D"/>
          </w:tcPr>
          <w:p>
            <w:pPr>
              <w:spacing w:after="0"/>
            </w:pPr>
            <w:r>
              <w:rPr>
                <w:rFonts w:ascii="Aptos" w:hAnsi="Aptos"/>
                <w:b/>
                <w:color w:val="FFFFFF"/>
                <w:sz w:val="19"/>
              </w:rPr>
              <w:t>Horizon</w:t>
            </w:r>
          </w:p>
        </w:tc>
        <w:tc>
          <w:tcPr>
            <w:tcW w:type="dxa" w:w="7560"/>
            <w:vAlign w:val="center"/>
            <w:tcMar>
              <w:top w:w="90" w:type="dxa"/>
              <w:start w:w="120" w:type="dxa"/>
              <w:bottom w:w="90" w:type="dxa"/>
              <w:end w:w="120" w:type="dxa"/>
            </w:tcMar>
            <w:shd w:fill="17324D"/>
          </w:tcPr>
          <w:p>
            <w:pPr>
              <w:spacing w:after="0"/>
            </w:pPr>
            <w:r>
              <w:rPr>
                <w:rFonts w:ascii="Aptos" w:hAnsi="Aptos"/>
                <w:b/>
                <w:color w:val="FFFFFF"/>
                <w:sz w:val="19"/>
              </w:rPr>
              <w:t>Actions</w:t>
            </w:r>
          </w:p>
        </w:tc>
      </w:tr>
      <w:tr>
        <w:tc>
          <w:tcPr>
            <w:tcW w:type="dxa" w:w="1800"/>
          </w:tcPr>
          <w:p>
            <w:pPr>
              <w:spacing w:after="0"/>
            </w:pPr>
            <w:r>
              <w:rPr>
                <w:rFonts w:ascii="Aptos" w:hAnsi="Aptos"/>
                <w:color w:val="24303C"/>
                <w:sz w:val="19"/>
              </w:rPr>
              <w:t>Avant mise en service</w:t>
            </w:r>
          </w:p>
        </w:tc>
        <w:tc>
          <w:tcPr>
            <w:tcW w:type="dxa" w:w="7560"/>
          </w:tcPr>
          <w:p>
            <w:pPr>
              <w:spacing w:after="0"/>
            </w:pPr>
            <w:r>
              <w:rPr>
                <w:rFonts w:ascii="Aptos" w:hAnsi="Aptos"/>
                <w:color w:val="24303C"/>
                <w:sz w:val="19"/>
              </w:rPr>
              <w:t>Durcissement de la configuration, comptes nominatifs, sauvegardes, HTTPS, recette par rôle.</w:t>
            </w:r>
          </w:p>
        </w:tc>
      </w:tr>
      <w:tr>
        <w:tc>
          <w:tcPr>
            <w:tcW w:type="dxa" w:w="1800"/>
            <w:shd w:fill="F7FAFC"/>
          </w:tcPr>
          <w:p>
            <w:pPr>
              <w:spacing w:after="0"/>
            </w:pPr>
            <w:r>
              <w:rPr>
                <w:rFonts w:ascii="Aptos" w:hAnsi="Aptos"/>
                <w:color w:val="24303C"/>
                <w:sz w:val="19"/>
              </w:rPr>
              <w:t>0–3 mois</w:t>
            </w:r>
          </w:p>
        </w:tc>
        <w:tc>
          <w:tcPr>
            <w:tcW w:type="dxa" w:w="7560"/>
            <w:shd w:fill="F7FAFC"/>
          </w:tcPr>
          <w:p>
            <w:pPr>
              <w:spacing w:after="0"/>
            </w:pPr>
            <w:r>
              <w:rPr>
                <w:rFonts w:ascii="Aptos" w:hAnsi="Aptos"/>
                <w:color w:val="24303C"/>
                <w:sz w:val="19"/>
              </w:rPr>
              <w:t>Formation des utilisateurs, référentiel de données, suivi des incidents et indicateurs d’adoption.</w:t>
            </w:r>
          </w:p>
        </w:tc>
      </w:tr>
      <w:tr>
        <w:tc>
          <w:tcPr>
            <w:tcW w:type="dxa" w:w="1800"/>
          </w:tcPr>
          <w:p>
            <w:pPr>
              <w:spacing w:after="0"/>
            </w:pPr>
            <w:r>
              <w:rPr>
                <w:rFonts w:ascii="Aptos" w:hAnsi="Aptos"/>
                <w:color w:val="24303C"/>
                <w:sz w:val="19"/>
              </w:rPr>
              <w:t>3–6 mois</w:t>
            </w:r>
          </w:p>
        </w:tc>
        <w:tc>
          <w:tcPr>
            <w:tcW w:type="dxa" w:w="7560"/>
          </w:tcPr>
          <w:p>
            <w:pPr>
              <w:spacing w:after="0"/>
            </w:pPr>
            <w:r>
              <w:rPr>
                <w:rFonts w:ascii="Aptos" w:hAnsi="Aptos"/>
                <w:color w:val="24303C"/>
                <w:sz w:val="19"/>
              </w:rPr>
              <w:t>Tests automatisés, amélioration des exports, tableaux de bord par rôle et procédures d’archivage.</w:t>
            </w:r>
          </w:p>
        </w:tc>
      </w:tr>
      <w:tr>
        <w:tc>
          <w:tcPr>
            <w:tcW w:type="dxa" w:w="1800"/>
            <w:shd w:fill="F7FAFC"/>
          </w:tcPr>
          <w:p>
            <w:pPr>
              <w:spacing w:after="0"/>
            </w:pPr>
            <w:r>
              <w:rPr>
                <w:rFonts w:ascii="Aptos" w:hAnsi="Aptos"/>
                <w:color w:val="24303C"/>
                <w:sz w:val="19"/>
              </w:rPr>
              <w:t>6–12 mois</w:t>
            </w:r>
          </w:p>
        </w:tc>
        <w:tc>
          <w:tcPr>
            <w:tcW w:type="dxa" w:w="7560"/>
            <w:shd w:fill="F7FAFC"/>
          </w:tcPr>
          <w:p>
            <w:pPr>
              <w:spacing w:after="0"/>
            </w:pPr>
            <w:r>
              <w:rPr>
                <w:rFonts w:ascii="Aptos" w:hAnsi="Aptos"/>
                <w:color w:val="24303C"/>
                <w:sz w:val="19"/>
              </w:rPr>
              <w:t>API/intégrations, notifications externes, analytique avancée et mobilité renforcée.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FF7E3"/>
          </w:tcPr>
          <w:p>
            <w:pPr>
              <w:spacing w:after="20"/>
            </w:pPr>
            <w:r>
              <w:rPr>
                <w:rFonts w:ascii="Aptos" w:hAnsi="Aptos"/>
                <w:b/>
                <w:color w:val="17324D"/>
                <w:sz w:val="21"/>
              </w:rPr>
              <w:t xml:space="preserve">Conclusion  </w:t>
            </w:r>
            <w:r>
              <w:rPr>
                <w:rFonts w:ascii="Aptos" w:hAnsi="Aptos"/>
                <w:color w:val="24303C"/>
                <w:sz w:val="21"/>
              </w:rPr>
              <w:t>WAKE Business Suite constitue une base solide d’ERP métier interne. Sa valeur dépendra surtout de la qualité des données, de la discipline des rôles et du durcissement de l’environnement de production.</w:t>
            </w:r>
          </w:p>
        </w:tc>
      </w:tr>
    </w:tbl>
    <w:p>
      <w:pPr>
        <w:spacing w:after="20"/>
      </w:pPr>
    </w:p>
    <w:sectPr w:rsidR="00FC693F" w:rsidRPr="0006063C" w:rsidSect="00034616">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748B"/>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CAD6DF"/>
      </w:pBdr>
    </w:pPr>
    <w:r>
      <w:rPr>
        <w:rFonts w:ascii="Aptos" w:hAnsi="Aptos"/>
        <w:b/>
        <w:color w:val="64748B"/>
        <w:sz w:val="17"/>
      </w:rPr>
      <w:t>WAKE BUSINESS SUITE  |  WAKE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color w:val="2430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D6FA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88" w:lineRule="auto"/>
      <w:ind w:left="547"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88" w:lineRule="auto"/>
      <w:ind w:left="547" w:hanging="259"/>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