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ptos" w:hAnsi="Aptos"/>
          <w:b/>
          <w:color w:val="159A9C"/>
          <w:sz w:val="20"/>
        </w:rPr>
        <w:t>GUIDE UTILISATEUR</w:t>
      </w:r>
    </w:p>
    <w:p>
      <w:pPr>
        <w:pStyle w:val="Title"/>
        <w:jc w:val="center"/>
      </w:pPr>
      <w:r>
        <w:t>Utiliser WAKE Business Suite</w:t>
      </w:r>
    </w:p>
    <w:p>
      <w:pPr>
        <w:spacing w:after="720"/>
        <w:jc w:val="center"/>
      </w:pPr>
      <w:r>
        <w:rPr>
          <w:rFonts w:ascii="Aptos" w:hAnsi="Aptos"/>
          <w:color w:val="1D6FA5"/>
          <w:sz w:val="28"/>
        </w:rPr>
        <w:t>Parcours pratiques, procédures et règles de gestion</w:t>
      </w:r>
    </w:p>
    <w:p>
      <w:pPr>
        <w:spacing w:after="80"/>
        <w:jc w:val="center"/>
      </w:pPr>
      <w:r>
        <w:rPr>
          <w:rFonts w:ascii="Aptos" w:hAnsi="Aptos"/>
          <w:b/>
          <w:color w:val="17324D"/>
          <w:sz w:val="26"/>
        </w:rPr>
        <w:t>WAKE SERVICES</w:t>
      </w:r>
    </w:p>
    <w:p>
      <w:pPr>
        <w:spacing w:after="840"/>
        <w:jc w:val="center"/>
      </w:pPr>
      <w:r>
        <w:rPr>
          <w:rFonts w:ascii="Aptos" w:hAnsi="Aptos"/>
          <w:color w:val="64748B"/>
          <w:sz w:val="21"/>
        </w:rPr>
        <w:t>Pour les utilisateurs opérationnels, responsables métiers et administrateurs</w:t>
        <w:br/>
        <w:t>Version 1.0 · 22 juin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1F7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Finalité  </w:t>
            </w:r>
            <w:r>
              <w:rPr>
                <w:rFonts w:ascii="Aptos" w:hAnsi="Aptos"/>
                <w:color w:val="24303C"/>
                <w:sz w:val="21"/>
              </w:rPr>
              <w:t>Présenter une vision fiable du logiciel à partir de ses modules, parcours, rôles, règles de gestion et mécanismes de sécurité observés dans le code source.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NAVIGATION</w:t>
      </w:r>
    </w:p>
    <w:p>
      <w:pPr>
        <w:pStyle w:val="Heading1"/>
      </w:pPr>
      <w:r>
        <w:t>Sommaire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01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Premiers pas et navigation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02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Tableau de bord et outils transversaux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03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Commercial, ventes et livraisons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04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Facturation et encaissements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05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Finance, trésorerie et demandes de fonds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06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Construction et suivi de chantier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07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Placement du personnel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08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Administration, rôles et audit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09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Référentiel des statuts</w:t>
            </w:r>
          </w:p>
        </w:tc>
      </w:tr>
      <w:tr>
        <w:tc>
          <w:tcPr>
            <w:tcW w:type="dxa" w:w="900"/>
            <w:shd w:fill="E7F1F7"/>
          </w:tcPr>
          <w:p>
            <w:pPr>
              <w:jc w:val="center"/>
            </w:pPr>
            <w:r>
              <w:rPr>
                <w:rFonts w:ascii="Aptos" w:hAnsi="Aptos"/>
                <w:b/>
                <w:color w:val="1D6FA5"/>
                <w:sz w:val="22"/>
              </w:rPr>
              <w:t>10</w:t>
            </w:r>
          </w:p>
        </w:tc>
        <w:tc>
          <w:tcPr>
            <w:tcW w:type="dxa" w:w="8460"/>
          </w:tcPr>
          <w:p>
            <w:r>
              <w:rPr>
                <w:rFonts w:ascii="Aptos" w:hAnsi="Aptos"/>
                <w:b/>
                <w:color w:val="24303C"/>
                <w:sz w:val="21"/>
              </w:rPr>
              <w:t>Bonnes pratiques et dépannage</w:t>
            </w:r>
          </w:p>
        </w:tc>
      </w:tr>
    </w:tbl>
    <w:p/>
    <w:p>
      <w:pPr>
        <w:pStyle w:val="Heading1"/>
      </w:pPr>
      <w:r>
        <w:t>1. Premiers pas</w:t>
      </w:r>
    </w:p>
    <w:p>
      <w:pPr>
        <w:pStyle w:val="Heading2"/>
      </w:pPr>
      <w:r>
        <w:t>Se connecter</w:t>
      </w:r>
    </w:p>
    <w:p>
      <w:pPr>
        <w:pStyle w:val="ListNumber"/>
      </w:pPr>
      <w:r>
        <w:t>Ouvrez l’adresse communiquée par l’administrateur.</w:t>
      </w:r>
    </w:p>
    <w:p>
      <w:pPr>
        <w:pStyle w:val="ListNumber"/>
      </w:pPr>
      <w:r>
        <w:t>Saisissez votre email professionnel et votre mot de passe.</w:t>
      </w:r>
    </w:p>
    <w:p>
      <w:pPr>
        <w:pStyle w:val="ListNumber"/>
      </w:pPr>
      <w:r>
        <w:t>Cliquez sur « Se connecter ».</w:t>
      </w:r>
    </w:p>
    <w:p>
      <w:pPr>
        <w:pStyle w:val="ListNumber"/>
      </w:pPr>
      <w:r>
        <w:t>Si un module n’apparaît pas, vérifiez avec l’administrateur que votre rôle possède la permission correspondante.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7E3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Sécurité  </w:t>
            </w:r>
            <w:r>
              <w:rPr>
                <w:rFonts w:ascii="Aptos" w:hAnsi="Aptos"/>
                <w:color w:val="24303C"/>
                <w:sz w:val="21"/>
              </w:rPr>
              <w:t>La session expire après 30 minutes d’inactivité. Enregistrez les formulaires longs avant de quitter votre poste.</w:t>
            </w:r>
          </w:p>
        </w:tc>
      </w:tr>
    </w:tbl>
    <w:p>
      <w:pPr>
        <w:spacing w:after="20"/>
      </w:pPr>
    </w:p>
    <w:p>
      <w:pPr>
        <w:pStyle w:val="Heading2"/>
      </w:pPr>
      <w:r>
        <w:t>Comprendre l’interface</w:t>
      </w:r>
    </w:p>
    <w:p>
      <w:pPr>
        <w:pStyle w:val="ListBullet"/>
        <w:ind w:left="547"/>
      </w:pPr>
      <w:r>
        <w:t>Le menu gauche regroupe Pilotage, Commercial &amp; Ventes, Finance &amp; Trésorerie, Construction, Placement et Administration.</w:t>
      </w:r>
    </w:p>
    <w:p>
      <w:pPr>
        <w:pStyle w:val="ListBullet"/>
        <w:ind w:left="547"/>
      </w:pPr>
      <w:r>
        <w:t>Les éléments visibles dépendent de votre rôle et de vos permissions.</w:t>
      </w:r>
    </w:p>
    <w:p>
      <w:pPr>
        <w:pStyle w:val="ListBullet"/>
        <w:ind w:left="547"/>
      </w:pPr>
      <w:r>
        <w:t>Les boutons principaux créent ou confirment une opération ; les boutons secondaires permettent généralement de revenir, filtrer ou exporter.</w:t>
      </w:r>
    </w:p>
    <w:p>
      <w:pPr>
        <w:pStyle w:val="ListBullet"/>
        <w:ind w:left="547"/>
      </w:pPr>
      <w:r>
        <w:t>Les badges colorés indiquent le statut d’un dossier.</w:t>
      </w:r>
    </w:p>
    <w:p>
      <w:pPr>
        <w:pStyle w:val="ListBullet"/>
        <w:ind w:left="547"/>
      </w:pPr>
      <w:r>
        <w:t>Les tableaux proposent souvent une recherche instantanée et parfois un filtre par statut.</w:t>
      </w:r>
    </w:p>
    <w:p>
      <w:pPr>
        <w:pStyle w:val="ListBullet"/>
        <w:ind w:left="547"/>
      </w:pPr>
      <w:r>
        <w:t>Les notifications signalent les événements nécessitant une attention.</w:t>
      </w:r>
    </w:p>
    <w:p>
      <w:pPr>
        <w:pStyle w:val="Heading2"/>
      </w:pPr>
      <w:r>
        <w:t>Règles générales de saisie</w:t>
      </w:r>
    </w:p>
    <w:p>
      <w:pPr>
        <w:pStyle w:val="ListBullet"/>
        <w:ind w:left="547"/>
      </w:pPr>
      <w:r>
        <w:t>Renseignez les champs marqués « Obligatoire » avant validation.</w:t>
      </w:r>
    </w:p>
    <w:p>
      <w:pPr>
        <w:pStyle w:val="ListBullet"/>
        <w:ind w:left="547"/>
      </w:pPr>
      <w:r>
        <w:t>Utilisez des libellés précis et évitez les abréviations ambiguës.</w:t>
      </w:r>
    </w:p>
    <w:p>
      <w:pPr>
        <w:pStyle w:val="ListBullet"/>
        <w:ind w:left="547"/>
      </w:pPr>
      <w:r>
        <w:t>Vérifiez la devise USD ou CDF avant de confirmer un montant.</w:t>
      </w:r>
    </w:p>
    <w:p>
      <w:pPr>
        <w:pStyle w:val="ListBullet"/>
        <w:ind w:left="547"/>
      </w:pPr>
      <w:r>
        <w:t>Joignez les justificatifs lisibles au format PDF, JPG ou PNG lorsque le formulaire le permet.</w:t>
      </w:r>
    </w:p>
    <w:p>
      <w:pPr>
        <w:pStyle w:val="ListBullet"/>
        <w:ind w:left="547"/>
      </w:pPr>
      <w:r>
        <w:t>Relisez le récapitulatif avant toute soumission, approbation, livraison ou paiement.</w:t>
      </w:r>
    </w:p>
    <w:p>
      <w:pPr>
        <w:pStyle w:val="Heading1"/>
      </w:pPr>
      <w:r>
        <w:t>2. Tableau de bord</w:t>
      </w:r>
    </w:p>
    <w:p>
      <w:r>
        <w:t>Le tableau de bord présente la situation générale de l’entreprise. Cliquez sur une carte ou une zone d’analyse pour ouvrir le détail.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Bloc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Comment l’utiliser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KPI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Contrôler les soldes, demandes en attente, dépenses, revenus, factures impayées, projets, placements et livraisons.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Graphiques</w:t>
            </w:r>
          </w:p>
        </w:tc>
        <w:tc>
          <w:tcPr>
            <w:tcW w:type="dxa" w:w="746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Comparer revenus et dépenses et visualiser la structure des coûts.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Listes critiques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Ouvrir les demandes récentes, projets sensibles et factures en retard.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Détail</w:t>
            </w:r>
          </w:p>
        </w:tc>
        <w:tc>
          <w:tcPr>
            <w:tcW w:type="dxa" w:w="746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Cliquer sur une carte pour afficher les lignes sources.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Exports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Dans la fenêtre de détail, utiliser Excel ou PDF selon le besoin.</w:t>
            </w:r>
          </w:p>
        </w:tc>
      </w:tr>
    </w:tbl>
    <w:p>
      <w:pPr>
        <w:spacing w:after="20"/>
      </w:pPr>
    </w:p>
    <w:p>
      <w:pPr>
        <w:pStyle w:val="Heading2"/>
      </w:pPr>
      <w:r>
        <w:t>Notifications et rapports</w:t>
      </w:r>
    </w:p>
    <w:p>
      <w:pPr>
        <w:pStyle w:val="ListBullet"/>
        <w:ind w:left="547"/>
      </w:pPr>
      <w:r>
        <w:t>Ouvrez Notifications pour consulter les événements générés par les workflows.</w:t>
      </w:r>
    </w:p>
    <w:p>
      <w:pPr>
        <w:pStyle w:val="ListBullet"/>
        <w:ind w:left="547"/>
      </w:pPr>
      <w:r>
        <w:t>Marquez une notification comme lue après traitement.</w:t>
      </w:r>
    </w:p>
    <w:p>
      <w:pPr>
        <w:pStyle w:val="ListBullet"/>
        <w:ind w:left="547"/>
      </w:pPr>
      <w:r>
        <w:t>Ouvrez Rapports de gestion pour consolider les informations transversales.</w:t>
      </w:r>
    </w:p>
    <w:p>
      <w:pPr>
        <w:pStyle w:val="ListBullet"/>
        <w:ind w:left="547"/>
      </w:pPr>
      <w:r>
        <w:t>Utilisez les exports uniquement sur des données vérifiées.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COMMERCIAL</w:t>
      </w:r>
    </w:p>
    <w:p>
      <w:pPr>
        <w:pStyle w:val="Heading1"/>
      </w:pPr>
      <w:r>
        <w:t>3. Clients, produits, devis et commandes</w:t>
      </w:r>
    </w:p>
    <w:p>
      <w:pPr>
        <w:pStyle w:val="Heading2"/>
      </w:pPr>
      <w:r>
        <w:t>Créer un client</w:t>
      </w:r>
    </w:p>
    <w:p>
      <w:pPr>
        <w:pStyle w:val="ListNumber"/>
      </w:pPr>
      <w:r>
        <w:t>Ouvrez Commercial &amp; Ventes &gt; Clients.</w:t>
      </w:r>
    </w:p>
    <w:p>
      <w:pPr>
        <w:pStyle w:val="ListNumber"/>
      </w:pPr>
      <w:r>
        <w:t>Cliquez sur le bouton de création.</w:t>
      </w:r>
    </w:p>
    <w:p>
      <w:pPr>
        <w:pStyle w:val="ListNumber"/>
      </w:pPr>
      <w:r>
        <w:t>Renseignez la raison sociale, le contact, le téléphone, l’email, l’adresse et les informations fiscales disponibles.</w:t>
      </w:r>
    </w:p>
    <w:p>
      <w:pPr>
        <w:pStyle w:val="ListNumber"/>
      </w:pPr>
      <w:r>
        <w:t>Choisissez le statut Actif et enregistrez.</w:t>
      </w:r>
    </w:p>
    <w:p>
      <w:pPr>
        <w:pStyle w:val="Heading2"/>
      </w:pPr>
      <w:r>
        <w:t>Créer un produit ou une prestation</w:t>
      </w:r>
    </w:p>
    <w:p>
      <w:pPr>
        <w:pStyle w:val="ListNumber"/>
      </w:pPr>
      <w:r>
        <w:t>Ouvrez Produits &amp; stock puis créez une fiche.</w:t>
      </w:r>
    </w:p>
    <w:p>
      <w:pPr>
        <w:pStyle w:val="ListNumber"/>
      </w:pPr>
      <w:r>
        <w:t>Saisissez le SKU, le nom, la catégorie, l’unité, le coût d’achat, le prix de vente et le stock.</w:t>
      </w:r>
    </w:p>
    <w:p>
      <w:pPr>
        <w:pStyle w:val="ListNumber"/>
      </w:pPr>
      <w:r>
        <w:t>Vérifiez que le coût et le prix sont cohérents afin que la marge calculée soit fiable.</w:t>
      </w:r>
    </w:p>
    <w:p>
      <w:pPr>
        <w:pStyle w:val="ListNumber"/>
      </w:pPr>
      <w:r>
        <w:t>Activez la fiche puis enregistrez.</w:t>
      </w:r>
    </w:p>
    <w:p>
      <w:pPr>
        <w:pStyle w:val="Heading2"/>
      </w:pPr>
      <w:r>
        <w:t>Créer et convertir un devis</w:t>
      </w:r>
    </w:p>
    <w:p>
      <w:pPr>
        <w:pStyle w:val="ListNumber"/>
      </w:pPr>
      <w:r>
        <w:t>Ouvrez Devis puis « Créer un devis ».</w:t>
      </w:r>
    </w:p>
    <w:p>
      <w:pPr>
        <w:pStyle w:val="ListNumber"/>
      </w:pPr>
      <w:r>
        <w:t>Sélectionnez le client, la date, la validité et ajoutez les notes commerciales.</w:t>
      </w:r>
    </w:p>
    <w:p>
      <w:pPr>
        <w:pStyle w:val="ListNumber"/>
      </w:pPr>
      <w:r>
        <w:t>Pour chaque ligne, choisissez un produit ou une prestation libre, puis renseignez description, quantité, prix, coût et taxe.</w:t>
      </w:r>
    </w:p>
    <w:p>
      <w:pPr>
        <w:pStyle w:val="ListNumber"/>
      </w:pPr>
      <w:r>
        <w:t>Créez le devis. Il est initialement en brouillon.</w:t>
      </w:r>
    </w:p>
    <w:p>
      <w:pPr>
        <w:pStyle w:val="ListNumber"/>
      </w:pPr>
      <w:r>
        <w:t>Cliquez sur « Valider » après contrôle.</w:t>
      </w:r>
    </w:p>
    <w:p>
      <w:pPr>
        <w:pStyle w:val="ListNumber"/>
      </w:pPr>
      <w:r>
        <w:t>Cliquez sur « Créer la commande » pour convertir le devis.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1F7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Contrôle marge  </w:t>
            </w:r>
            <w:r>
              <w:rPr>
                <w:rFonts w:ascii="Aptos" w:hAnsi="Aptos"/>
                <w:color w:val="24303C"/>
                <w:sz w:val="21"/>
              </w:rPr>
              <w:t>Le coût estimé n’est pas destiné au client ; il permet de calculer la marge commerciale. Ne le laissez pas à zéro sans justification.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Traiter une commande et une livraison</w:t>
      </w:r>
    </w:p>
    <w:p>
      <w:pPr>
        <w:pStyle w:val="ListNumber"/>
      </w:pPr>
      <w:r>
        <w:t>Ouvrez Commandes et sélectionnez le dossier.</w:t>
      </w:r>
    </w:p>
    <w:p>
      <w:pPr>
        <w:pStyle w:val="ListNumber"/>
      </w:pPr>
      <w:r>
        <w:t>Vérifiez les lignes, les quantités, le total et la marge.</w:t>
      </w:r>
    </w:p>
    <w:p>
      <w:pPr>
        <w:pStyle w:val="ListNumber"/>
      </w:pPr>
      <w:r>
        <w:t>Cliquez sur « Préparer livraison ».</w:t>
      </w:r>
    </w:p>
    <w:p>
      <w:pPr>
        <w:pStyle w:val="ListNumber"/>
      </w:pPr>
      <w:r>
        <w:t>Indiquez pour chaque article la quantité réellement livrée ; la livraison peut être partielle.</w:t>
      </w:r>
    </w:p>
    <w:p>
      <w:pPr>
        <w:pStyle w:val="ListNumber"/>
      </w:pPr>
      <w:r>
        <w:t>Ajoutez les réserves ou instructions dans les notes et enregistrez.</w:t>
      </w:r>
    </w:p>
    <w:p>
      <w:pPr>
        <w:pStyle w:val="ListNumber"/>
      </w:pPr>
      <w:r>
        <w:t>Depuis la commande, générez la facture lorsque les conditions de facturation sont remplies.</w:t>
      </w:r>
    </w:p>
    <w:p>
      <w:pPr>
        <w:pStyle w:val="Heading1"/>
      </w:pPr>
      <w:r>
        <w:t>4. Facturation et paiements clients</w:t>
      </w:r>
    </w:p>
    <w:p>
      <w:pPr>
        <w:pStyle w:val="Heading2"/>
      </w:pPr>
      <w:r>
        <w:t>Créer une facture manuelle</w:t>
      </w:r>
    </w:p>
    <w:p>
      <w:pPr>
        <w:pStyle w:val="ListNumber"/>
      </w:pPr>
      <w:r>
        <w:t>Ouvrez Finance &amp; Trésorerie &gt; Facturation puis « Créer une facture ».</w:t>
      </w:r>
    </w:p>
    <w:p>
      <w:pPr>
        <w:pStyle w:val="ListNumber"/>
      </w:pPr>
      <w:r>
        <w:t>Sélectionnez le client et la source : autre service, projet de construction ou prestation diverse.</w:t>
      </w:r>
    </w:p>
    <w:p>
      <w:pPr>
        <w:pStyle w:val="ListNumber"/>
      </w:pPr>
      <w:r>
        <w:t>Renseignez les dates, le statut Brouillon ou Envoyée, les conditions et les notes.</w:t>
      </w:r>
    </w:p>
    <w:p>
      <w:pPr>
        <w:pStyle w:val="ListNumber"/>
      </w:pPr>
      <w:r>
        <w:t>Ajoutez les lignes avec description, quantité, prix unitaire, coût et taxe.</w:t>
      </w:r>
    </w:p>
    <w:p>
      <w:pPr>
        <w:pStyle w:val="ListNumber"/>
      </w:pPr>
      <w:r>
        <w:t>Créez la facture et ouvrez-la pour vérifier le total, la marge et l’échéance.</w:t>
      </w:r>
    </w:p>
    <w:p>
      <w:pPr>
        <w:pStyle w:val="Heading2"/>
      </w:pPr>
      <w:r>
        <w:t>Générer une facture métier</w:t>
      </w:r>
    </w:p>
    <w:p>
      <w:pPr>
        <w:pStyle w:val="ListBullet"/>
        <w:ind w:left="547"/>
      </w:pPr>
      <w:r>
        <w:t>Commande : utilisez « Générer facture » dans le dossier de commande.</w:t>
      </w:r>
    </w:p>
    <w:p>
      <w:pPr>
        <w:pStyle w:val="ListBullet"/>
        <w:ind w:left="547"/>
      </w:pPr>
      <w:r>
        <w:t>Placement : choisissez un contrat actif et le mois dans l’écran de création de facture.</w:t>
      </w:r>
    </w:p>
    <w:p>
      <w:pPr>
        <w:pStyle w:val="ListBullet"/>
        <w:ind w:left="547"/>
      </w:pPr>
      <w:r>
        <w:t>Construction : une facture peut être créée avec la source Projet construction et la référence utile en notes.</w:t>
      </w:r>
    </w:p>
    <w:p>
      <w:pPr>
        <w:pStyle w:val="Heading2"/>
      </w:pPr>
      <w:r>
        <w:t>Enregistrer un encaissement</w:t>
      </w:r>
    </w:p>
    <w:p>
      <w:pPr>
        <w:pStyle w:val="ListNumber"/>
      </w:pPr>
      <w:r>
        <w:t>Ouvrez Paiements clients ou cliquez sur « Encaisser » depuis une facture.</w:t>
      </w:r>
    </w:p>
    <w:p>
      <w:pPr>
        <w:pStyle w:val="ListNumber"/>
      </w:pPr>
      <w:r>
        <w:t>Sélectionnez la facture ouverte.</w:t>
      </w:r>
    </w:p>
    <w:p>
      <w:pPr>
        <w:pStyle w:val="ListNumber"/>
      </w:pPr>
      <w:r>
        <w:t>Saisissez la date, le montant et la méthode : Cash, Banque, Mobile Money, Chèque ou Autre.</w:t>
      </w:r>
    </w:p>
    <w:p>
      <w:pPr>
        <w:pStyle w:val="ListNumber"/>
      </w:pPr>
      <w:r>
        <w:t>Ajoutez la référence de transaction dans les notes.</w:t>
      </w:r>
    </w:p>
    <w:p>
      <w:pPr>
        <w:pStyle w:val="ListNumber"/>
      </w:pPr>
      <w:r>
        <w:t>Enregistrez. Le reste à payer et le statut sont recalculés.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7E3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Paiements partiels  </w:t>
            </w:r>
            <w:r>
              <w:rPr>
                <w:rFonts w:ascii="Aptos" w:hAnsi="Aptos"/>
                <w:color w:val="24303C"/>
                <w:sz w:val="21"/>
              </w:rPr>
              <w:t>Une facture peut recevoir plusieurs encaissements. Ne saisissez jamais un montant supérieur au solde restant.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FINANCE</w:t>
      </w:r>
    </w:p>
    <w:p>
      <w:pPr>
        <w:pStyle w:val="Heading1"/>
      </w:pPr>
      <w:r>
        <w:t>5. Demandes de fonds</w:t>
      </w:r>
    </w:p>
    <w:p>
      <w:pPr>
        <w:pStyle w:val="Heading2"/>
      </w:pPr>
      <w:r>
        <w:t>Créer une demande</w:t>
      </w:r>
    </w:p>
    <w:p>
      <w:pPr>
        <w:pStyle w:val="ListNumber"/>
      </w:pPr>
      <w:r>
        <w:t>Ouvrez Demandes de fonds puis « Nouvelle demande ».</w:t>
      </w:r>
    </w:p>
    <w:p>
      <w:pPr>
        <w:pStyle w:val="ListNumber"/>
      </w:pPr>
      <w:r>
        <w:t>Renseignez le titre, le service, la date souhaitée et une justification détaillée.</w:t>
      </w:r>
    </w:p>
    <w:p>
      <w:pPr>
        <w:pStyle w:val="ListNumber"/>
      </w:pPr>
      <w:r>
        <w:t>Saisissez le montant et sélectionnez USD ou CDF.</w:t>
      </w:r>
    </w:p>
    <w:p>
      <w:pPr>
        <w:pStyle w:val="ListNumber"/>
      </w:pPr>
      <w:r>
        <w:t>Ajoutez si possible un justificatif PDF, JPG ou PNG de 5 Mo maximum.</w:t>
      </w:r>
    </w:p>
    <w:p>
      <w:pPr>
        <w:pStyle w:val="ListNumber"/>
      </w:pPr>
      <w:r>
        <w:t>Choisissez « Enregistrer comme brouillon » ou « Soumettre à la Direction ».</w:t>
      </w:r>
    </w:p>
    <w:p>
      <w:pPr>
        <w:pStyle w:val="Heading2"/>
      </w:pPr>
      <w:r>
        <w:t>Suivre une demande</w:t>
      </w:r>
    </w:p>
    <w:p>
      <w:pPr>
        <w:pStyle w:val="ListBullet"/>
        <w:ind w:left="547"/>
      </w:pPr>
      <w:r>
        <w:t>Brouillon : le dossier attend sa soumission.</w:t>
      </w:r>
    </w:p>
    <w:p>
      <w:pPr>
        <w:pStyle w:val="ListBullet"/>
        <w:ind w:left="547"/>
      </w:pPr>
      <w:r>
        <w:t>En attente : la Direction doit statuer.</w:t>
      </w:r>
    </w:p>
    <w:p>
      <w:pPr>
        <w:pStyle w:val="ListBullet"/>
        <w:ind w:left="547"/>
      </w:pPr>
      <w:r>
        <w:t>Approuvée : un compte de trésorerie a été affecté ; le paiement reste à exécuter.</w:t>
      </w:r>
    </w:p>
    <w:p>
      <w:pPr>
        <w:pStyle w:val="ListBullet"/>
        <w:ind w:left="547"/>
      </w:pPr>
      <w:r>
        <w:t>Rejetée : le motif est visible dans le dossier.</w:t>
      </w:r>
    </w:p>
    <w:p>
      <w:pPr>
        <w:pStyle w:val="ListBullet"/>
        <w:ind w:left="547"/>
      </w:pPr>
      <w:r>
        <w:t>Payée : le mouvement de trésorerie et la preuve éventuelle sont conservés.</w:t>
      </w:r>
    </w:p>
    <w:p>
      <w:pPr>
        <w:pStyle w:val="Heading2"/>
      </w:pPr>
      <w:r>
        <w:t>Approuver ou rejeter — Direction</w:t>
      </w:r>
    </w:p>
    <w:p>
      <w:pPr>
        <w:pStyle w:val="ListNumber"/>
      </w:pPr>
      <w:r>
        <w:t>Ouvrez une demande en attente et cliquez sur l’action d’approbation.</w:t>
      </w:r>
    </w:p>
    <w:p>
      <w:pPr>
        <w:pStyle w:val="ListNumber"/>
      </w:pPr>
      <w:r>
        <w:t>Lisez la justification et ouvrez les pièces jointes.</w:t>
      </w:r>
    </w:p>
    <w:p>
      <w:pPr>
        <w:pStyle w:val="ListNumber"/>
      </w:pPr>
      <w:r>
        <w:t>Pour approuver, sélectionnez un compte actif dans la même devise et contrôlez son solde.</w:t>
      </w:r>
    </w:p>
    <w:p>
      <w:pPr>
        <w:pStyle w:val="ListNumber"/>
      </w:pPr>
      <w:r>
        <w:t>Ajoutez éventuellement une instruction puis confirmez.</w:t>
      </w:r>
    </w:p>
    <w:p>
      <w:pPr>
        <w:pStyle w:val="ListNumber"/>
      </w:pPr>
      <w:r>
        <w:t>Pour rejeter, saisissez un motif explicite et confirmez.</w:t>
      </w:r>
    </w:p>
    <w:p>
      <w:pPr>
        <w:pStyle w:val="Heading2"/>
      </w:pPr>
      <w:r>
        <w:t>Payer — Responsable du compte</w:t>
      </w:r>
    </w:p>
    <w:p>
      <w:pPr>
        <w:pStyle w:val="ListNumber"/>
      </w:pPr>
      <w:r>
        <w:t>Ouvrez une demande approuvée.</w:t>
      </w:r>
    </w:p>
    <w:p>
      <w:pPr>
        <w:pStyle w:val="ListNumber"/>
      </w:pPr>
      <w:r>
        <w:t>Vérifiez le montant, le compte affecté, le solde et le responsable.</w:t>
      </w:r>
    </w:p>
    <w:p>
      <w:pPr>
        <w:pStyle w:val="ListNumber"/>
      </w:pPr>
      <w:r>
        <w:t>Saisissez la description du paiement et joignez éventuellement une preuve.</w:t>
      </w:r>
    </w:p>
    <w:p>
      <w:pPr>
        <w:pStyle w:val="ListNumber"/>
      </w:pPr>
      <w:r>
        <w:t>Confirmez le paiement. Le système crée le mouvement et met à jour le solde.</w:t>
      </w:r>
    </w:p>
    <w:p>
      <w:pPr>
        <w:pStyle w:val="Heading1"/>
      </w:pPr>
      <w:r>
        <w:t>6. Caisses, banques, mouvements et transferts</w:t>
      </w:r>
    </w:p>
    <w:p>
      <w:pPr>
        <w:pStyle w:val="Heading2"/>
      </w:pPr>
      <w:r>
        <w:t>Comptes de trésorerie</w:t>
      </w:r>
    </w:p>
    <w:p>
      <w:pPr>
        <w:pStyle w:val="ListBullet"/>
        <w:ind w:left="547"/>
      </w:pPr>
      <w:r>
        <w:t>Créez un compte en précisant le type, la devise, le solde initial, le responsable et le statut.</w:t>
      </w:r>
    </w:p>
    <w:p>
      <w:pPr>
        <w:pStyle w:val="ListBullet"/>
        <w:ind w:left="547"/>
      </w:pPr>
      <w:r>
        <w:t>Consultez le détail d’un compte pour voir le solde et l’historique des mouvements.</w:t>
      </w:r>
    </w:p>
    <w:p>
      <w:pPr>
        <w:pStyle w:val="ListBullet"/>
        <w:ind w:left="547"/>
      </w:pPr>
      <w:r>
        <w:t>N’inactivez pas un compte impliqué dans des opérations non terminées sans validation Finance.</w:t>
      </w:r>
    </w:p>
    <w:p>
      <w:pPr>
        <w:pStyle w:val="Heading2"/>
      </w:pPr>
      <w:r>
        <w:t>Transfert entre comptes</w:t>
      </w:r>
    </w:p>
    <w:p>
      <w:pPr>
        <w:pStyle w:val="ListNumber"/>
      </w:pPr>
      <w:r>
        <w:t>Créez le transfert avec compte source, compte destination, montants et motif.</w:t>
      </w:r>
    </w:p>
    <w:p>
      <w:pPr>
        <w:pStyle w:val="ListNumber"/>
      </w:pPr>
      <w:r>
        <w:t>Enregistrez en brouillon ou soumettez.</w:t>
      </w:r>
    </w:p>
    <w:p>
      <w:pPr>
        <w:pStyle w:val="ListNumber"/>
      </w:pPr>
      <w:r>
        <w:t>La personne autorisée approuve ou rejette.</w:t>
      </w:r>
    </w:p>
    <w:p>
      <w:pPr>
        <w:pStyle w:val="ListNumber"/>
      </w:pPr>
      <w:r>
        <w:t>L’exécutant confirme le transfert ; les mouvements correspondants sont alors enregistrés.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1F7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Devises  </w:t>
            </w:r>
            <w:r>
              <w:rPr>
                <w:rFonts w:ascii="Aptos" w:hAnsi="Aptos"/>
                <w:color w:val="24303C"/>
                <w:sz w:val="21"/>
              </w:rPr>
              <w:t>Un transfert peut distinguer montant source et montant destination. Vérifiez le taux ou la justification lorsqu’ils diffèrent.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CONSTRUCTION</w:t>
      </w:r>
    </w:p>
    <w:p>
      <w:pPr>
        <w:pStyle w:val="Heading1"/>
      </w:pPr>
      <w:r>
        <w:t>7. Projets et rapports journaliers</w:t>
      </w:r>
    </w:p>
    <w:p>
      <w:pPr>
        <w:pStyle w:val="Heading2"/>
      </w:pPr>
      <w:r>
        <w:t>Créer un projet</w:t>
      </w:r>
    </w:p>
    <w:p>
      <w:pPr>
        <w:pStyle w:val="ListNumber"/>
      </w:pPr>
      <w:r>
        <w:t>Ouvrez Construction &gt; Projets puis créez un projet.</w:t>
      </w:r>
    </w:p>
    <w:p>
      <w:pPr>
        <w:pStyle w:val="ListNumber"/>
      </w:pPr>
      <w:r>
        <w:t>Renseignez le nom, le client, le montant du contrat, le coût prévisionnel, les dates et la localisation.</w:t>
      </w:r>
    </w:p>
    <w:p>
      <w:pPr>
        <w:pStyle w:val="ListNumber"/>
      </w:pPr>
      <w:r>
        <w:t>Affectez un chef de projet et choisissez le statut.</w:t>
      </w:r>
    </w:p>
    <w:p>
      <w:pPr>
        <w:pStyle w:val="ListNumber"/>
      </w:pPr>
      <w:r>
        <w:t>Ajoutez les travaux prévus avec unités, quantités, coûts et durées.</w:t>
      </w:r>
    </w:p>
    <w:p>
      <w:pPr>
        <w:pStyle w:val="ListNumber"/>
      </w:pPr>
      <w:r>
        <w:t>Ajoutez les consommables prévus avec quantités et coûts.</w:t>
      </w:r>
    </w:p>
    <w:p>
      <w:pPr>
        <w:pStyle w:val="ListNumber"/>
      </w:pPr>
      <w:r>
        <w:t>Enregistrez puis ouvrez le cockpit du projet.</w:t>
      </w:r>
    </w:p>
    <w:p>
      <w:pPr>
        <w:pStyle w:val="Heading2"/>
      </w:pPr>
      <w:r>
        <w:t>Lire le cockpit chantier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6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Interprétation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Avancement global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Progression physique pondérée des travaux.</w:t>
            </w:r>
          </w:p>
        </w:tc>
      </w:tr>
      <w:tr>
        <w:tc>
          <w:tcPr>
            <w:tcW w:type="dxa" w:w="245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Budget consommé</w:t>
            </w:r>
          </w:p>
        </w:tc>
        <w:tc>
          <w:tcPr>
            <w:tcW w:type="dxa" w:w="691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Part du coût prévisionnel déjà engagée.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Écart consommation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Différence entre consommations prévues et réelles.</w:t>
            </w:r>
          </w:p>
        </w:tc>
      </w:tr>
      <w:tr>
        <w:tc>
          <w:tcPr>
            <w:tcW w:type="dxa" w:w="245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Marge réelle estimée</w:t>
            </w:r>
          </w:p>
        </w:tc>
        <w:tc>
          <w:tcPr>
            <w:tcW w:type="dxa" w:w="691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Montant du contrat diminué des coûts enregistrés.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Retard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9"/>
              </w:rPr>
              <w:t>Écart en jours par rapport à la date de fin prévue.</w:t>
            </w:r>
          </w:p>
        </w:tc>
      </w:tr>
    </w:tbl>
    <w:p>
      <w:pPr>
        <w:spacing w:after="20"/>
      </w:pPr>
    </w:p>
    <w:p>
      <w:pPr>
        <w:pStyle w:val="Heading2"/>
      </w:pPr>
      <w:r>
        <w:t>Saisir un rapport journalier</w:t>
      </w:r>
    </w:p>
    <w:p>
      <w:pPr>
        <w:pStyle w:val="ListNumber"/>
      </w:pPr>
      <w:r>
        <w:t>Depuis le projet, cliquez sur « Nouveau rapport journalier ».</w:t>
      </w:r>
    </w:p>
    <w:p>
      <w:pPr>
        <w:pStyle w:val="ListNumber"/>
      </w:pPr>
      <w:r>
        <w:t>Renseignez la date, la météo, les observations et les blocages.</w:t>
      </w:r>
    </w:p>
    <w:p>
      <w:pPr>
        <w:pStyle w:val="ListNumber"/>
      </w:pPr>
      <w:r>
        <w:t>Pour chaque travail, décrivez l’exécution, la quantité réalisée et le pourcentage d’avancement.</w:t>
      </w:r>
    </w:p>
    <w:p>
      <w:pPr>
        <w:pStyle w:val="ListNumber"/>
      </w:pPr>
      <w:r>
        <w:t>Ajoutez les consommables utilisés et leurs coûts.</w:t>
      </w:r>
    </w:p>
    <w:p>
      <w:pPr>
        <w:pStyle w:val="ListNumber"/>
      </w:pPr>
      <w:r>
        <w:t>Ajoutez les dépenses du jour.</w:t>
      </w:r>
    </w:p>
    <w:p>
      <w:pPr>
        <w:pStyle w:val="ListNumber"/>
      </w:pPr>
      <w:r>
        <w:t>Joignez les photos chantier et une légende, puis enregistrez.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7E3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Qualité des données  </w:t>
            </w:r>
            <w:r>
              <w:rPr>
                <w:rFonts w:ascii="Aptos" w:hAnsi="Aptos"/>
                <w:color w:val="24303C"/>
                <w:sz w:val="21"/>
              </w:rPr>
              <w:t>Le cockpit dépend directement des quantités, coûts et pourcentages saisis. Corrigez les incohérences le jour même.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PLACEMENT</w:t>
      </w:r>
    </w:p>
    <w:p>
      <w:pPr>
        <w:pStyle w:val="Heading1"/>
      </w:pPr>
      <w:r>
        <w:t>8. Agents, contrats et présences</w:t>
      </w:r>
    </w:p>
    <w:p>
      <w:pPr>
        <w:pStyle w:val="Heading2"/>
      </w:pPr>
      <w:r>
        <w:t>Créer un agent</w:t>
      </w:r>
    </w:p>
    <w:p>
      <w:pPr>
        <w:pStyle w:val="ListNumber"/>
      </w:pPr>
      <w:r>
        <w:t>Ouvrez Placement &gt; Agents puis créez une fiche.</w:t>
      </w:r>
    </w:p>
    <w:p>
      <w:pPr>
        <w:pStyle w:val="ListNumber"/>
      </w:pPr>
      <w:r>
        <w:t>Renseignez l’identité, le poste, les contacts, le salaire de base et le statut.</w:t>
      </w:r>
    </w:p>
    <w:p>
      <w:pPr>
        <w:pStyle w:val="ListNumber"/>
      </w:pPr>
      <w:r>
        <w:t>Enregistrez puis utilisez l’agent lors de la création d’un contrat.</w:t>
      </w:r>
    </w:p>
    <w:p>
      <w:pPr>
        <w:pStyle w:val="Heading2"/>
      </w:pPr>
      <w:r>
        <w:t>Créer un contrat de placement</w:t>
      </w:r>
    </w:p>
    <w:p>
      <w:pPr>
        <w:pStyle w:val="ListNumber"/>
      </w:pPr>
      <w:r>
        <w:t>Ouvrez Contrats clients puis « Créer un contrat ».</w:t>
      </w:r>
    </w:p>
    <w:p>
      <w:pPr>
        <w:pStyle w:val="ListNumber"/>
      </w:pPr>
      <w:r>
        <w:t>Saisissez le client, le contact, la période, le jour de facturation et le statut.</w:t>
      </w:r>
    </w:p>
    <w:p>
      <w:pPr>
        <w:pStyle w:val="ListNumber"/>
      </w:pPr>
      <w:r>
        <w:t>Affectez les agents un par un.</w:t>
      </w:r>
    </w:p>
    <w:p>
      <w:pPr>
        <w:pStyle w:val="ListNumber"/>
      </w:pPr>
      <w:r>
        <w:t>Pour chaque affectation, saisissez le poste, le coût agent, le tarif client et la date de début.</w:t>
      </w:r>
    </w:p>
    <w:p>
      <w:pPr>
        <w:pStyle w:val="ListNumber"/>
      </w:pPr>
      <w:r>
        <w:t>Vérifiez que le tarif client est supérieur au coût lorsque le contrat doit générer une marge positive.</w:t>
      </w:r>
    </w:p>
    <w:p>
      <w:pPr>
        <w:pStyle w:val="ListNumber"/>
      </w:pPr>
      <w:r>
        <w:t>Enregistrez et ouvrez le contrat pour contrôler la marge mensuelle.</w:t>
      </w:r>
    </w:p>
    <w:p>
      <w:pPr>
        <w:pStyle w:val="Heading2"/>
      </w:pPr>
      <w:r>
        <w:t>Saisir les présences</w:t>
      </w:r>
    </w:p>
    <w:p>
      <w:pPr>
        <w:pStyle w:val="ListNumber"/>
      </w:pPr>
      <w:r>
        <w:t>Ouvrez Présences et sélectionnez le mois.</w:t>
      </w:r>
    </w:p>
    <w:p>
      <w:pPr>
        <w:pStyle w:val="ListNumber"/>
      </w:pPr>
      <w:r>
        <w:t>Choisissez l’agent placé.</w:t>
      </w:r>
    </w:p>
    <w:p>
      <w:pPr>
        <w:pStyle w:val="ListNumber"/>
      </w:pPr>
      <w:r>
        <w:t>Saisissez les jours présents, les absences et les heures supplémentaires.</w:t>
      </w:r>
    </w:p>
    <w:p>
      <w:pPr>
        <w:pStyle w:val="ListNumber"/>
      </w:pPr>
      <w:r>
        <w:t>Ajoutez une observation en cas d’écart, puis enregistrez.</w:t>
      </w:r>
    </w:p>
    <w:p>
      <w:pPr>
        <w:pStyle w:val="Heading2"/>
      </w:pPr>
      <w:r>
        <w:t>Générer la facture de placement</w:t>
      </w:r>
    </w:p>
    <w:p>
      <w:pPr>
        <w:pStyle w:val="ListNumber"/>
      </w:pPr>
      <w:r>
        <w:t>Ouvrez Factures placement ou la facturation centralisée.</w:t>
      </w:r>
    </w:p>
    <w:p>
      <w:pPr>
        <w:pStyle w:val="ListNumber"/>
      </w:pPr>
      <w:r>
        <w:t>Sélectionnez le contrat et la période.</w:t>
      </w:r>
    </w:p>
    <w:p>
      <w:pPr>
        <w:pStyle w:val="ListNumber"/>
      </w:pPr>
      <w:r>
        <w:t>Lancez la génération.</w:t>
      </w:r>
    </w:p>
    <w:p>
      <w:pPr>
        <w:pStyle w:val="ListNumber"/>
      </w:pPr>
      <w:r>
        <w:t>Contrôlez le chiffre d’affaires, le coût et la marge avant envoi au client.</w:t>
      </w:r>
    </w:p>
    <w:p>
      <w:pPr>
        <w:sectPr>
          <w:pgSz w:w="12240" w:h="15840"/>
          <w:pgMar w:top="1152" w:right="1296" w:bottom="1080" w:left="1296" w:header="504" w:footer="504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ptos" w:hAnsi="Aptos"/>
          <w:b/>
          <w:color w:val="159A9C"/>
          <w:sz w:val="17"/>
        </w:rPr>
        <w:t>ADMINISTRATION</w:t>
      </w:r>
    </w:p>
    <w:p>
      <w:pPr>
        <w:pStyle w:val="Heading1"/>
      </w:pPr>
      <w:r>
        <w:t>9. Utilisateurs, rôles et audit</w:t>
      </w:r>
    </w:p>
    <w:p>
      <w:pPr>
        <w:pStyle w:val="Heading2"/>
      </w:pPr>
      <w:r>
        <w:t>Créer un utilisateur</w:t>
      </w:r>
    </w:p>
    <w:p>
      <w:pPr>
        <w:pStyle w:val="ListNumber"/>
      </w:pPr>
      <w:r>
        <w:t>Ouvrez Administration &gt; Utilisateurs.</w:t>
      </w:r>
    </w:p>
    <w:p>
      <w:pPr>
        <w:pStyle w:val="ListNumber"/>
      </w:pPr>
      <w:r>
        <w:t>Créez la fiche avec nom, email, rôle, statut et mot de passe d’au moins 8 caractères.</w:t>
      </w:r>
    </w:p>
    <w:p>
      <w:pPr>
        <w:pStyle w:val="ListNumber"/>
      </w:pPr>
      <w:r>
        <w:t>Utilisez un compte nominatif par personne ; ne partagez pas les identifiants.</w:t>
      </w:r>
    </w:p>
    <w:p>
      <w:pPr>
        <w:pStyle w:val="ListNumber"/>
      </w:pPr>
      <w:r>
        <w:t>Désactivez immédiatement les comptes des personnes qui quittent l’organisation.</w:t>
      </w:r>
    </w:p>
    <w:p>
      <w:pPr>
        <w:pStyle w:val="Heading2"/>
      </w:pPr>
      <w:r>
        <w:t>Gérer les permissions</w:t>
      </w:r>
    </w:p>
    <w:p>
      <w:pPr>
        <w:pStyle w:val="ListBullet"/>
        <w:ind w:left="547"/>
      </w:pPr>
      <w:r>
        <w:t>Ouvrez Rôles &amp; permissions.</w:t>
      </w:r>
    </w:p>
    <w:p>
      <w:pPr>
        <w:pStyle w:val="ListBullet"/>
        <w:ind w:left="547"/>
      </w:pPr>
      <w:r>
        <w:t>Accordez uniquement les permissions nécessaires à la fonction.</w:t>
      </w:r>
    </w:p>
    <w:p>
      <w:pPr>
        <w:pStyle w:val="ListBullet"/>
        <w:ind w:left="547"/>
      </w:pPr>
      <w:r>
        <w:t>Séparez autant que possible création, approbation et paiement.</w:t>
      </w:r>
    </w:p>
    <w:p>
      <w:pPr>
        <w:pStyle w:val="ListBullet"/>
        <w:ind w:left="547"/>
      </w:pPr>
      <w:r>
        <w:t>Testez le rôle avec un compte dédié avant mise à disposition.</w:t>
      </w:r>
    </w:p>
    <w:p>
      <w:pPr>
        <w:pStyle w:val="Heading2"/>
      </w:pPr>
      <w:r>
        <w:t>Consulter le journal d’audit</w:t>
      </w:r>
    </w:p>
    <w:p>
      <w:pPr>
        <w:pStyle w:val="ListBullet"/>
        <w:ind w:left="547"/>
      </w:pPr>
      <w:r>
        <w:t>Filtrez par utilisateur, action ou adresse IP.</w:t>
      </w:r>
    </w:p>
    <w:p>
      <w:pPr>
        <w:pStyle w:val="ListBullet"/>
        <w:ind w:left="547"/>
      </w:pPr>
      <w:r>
        <w:t>Utilisez l’audit pour reconstituer une décision ou une opération sensible.</w:t>
      </w:r>
    </w:p>
    <w:p>
      <w:pPr>
        <w:pStyle w:val="ListBullet"/>
        <w:ind w:left="547"/>
      </w:pPr>
      <w:r>
        <w:t>Ne modifiez pas directement les données en base pour contourner un workflow.</w:t>
      </w:r>
    </w:p>
    <w:p>
      <w:pPr>
        <w:pStyle w:val="Heading1"/>
      </w:pPr>
      <w:r>
        <w:t>10. Référentiel des statuts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Objet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Statuts principaux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Sens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Demande de fonds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Draft, Pending, Approved, Rejected, Paid, Cancelled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Brouillon, en attente, approuvée, rejetée, payée ou annulée.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Transfert</w:t>
            </w:r>
          </w:p>
        </w:tc>
        <w:tc>
          <w:tcPr>
            <w:tcW w:type="dxa" w:w="33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Draft, Pending, Approved, Executed, Rejected, Cancelled</w:t>
            </w:r>
          </w:p>
        </w:tc>
        <w:tc>
          <w:tcPr>
            <w:tcW w:type="dxa" w:w="416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Préparation, validation puis exécution.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Facture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Draft, Sent, Partially Paid, Paid, Overdue, Cancelled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Cycle d’émission et de recouvrement.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Projet</w:t>
            </w:r>
          </w:p>
        </w:tc>
        <w:tc>
          <w:tcPr>
            <w:tcW w:type="dxa" w:w="33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Planning, In Progress, On Hold, Completed, Cancelled</w:t>
            </w:r>
          </w:p>
        </w:tc>
        <w:tc>
          <w:tcPr>
            <w:tcW w:type="dxa" w:w="416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Planifié, en cours, suspendu, terminé ou annulé.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Contrat placement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Draft, Active, Suspended, Expired, Closed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Préparation, activité, suspension ou clôture.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Fiches</w:t>
            </w:r>
          </w:p>
        </w:tc>
        <w:tc>
          <w:tcPr>
            <w:tcW w:type="dxa" w:w="330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active, inactive</w:t>
            </w:r>
          </w:p>
        </w:tc>
        <w:tc>
          <w:tcPr>
            <w:tcW w:type="dxa" w:w="416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7"/>
              </w:rPr>
              <w:t>Disponible ou désactivée.</w:t>
            </w:r>
          </w:p>
        </w:tc>
      </w:tr>
    </w:tbl>
    <w:p>
      <w:pPr>
        <w:spacing w:after="20"/>
      </w:pPr>
    </w:p>
    <w:p>
      <w:pPr>
        <w:pStyle w:val="Heading1"/>
      </w:pPr>
      <w:r>
        <w:t>11. Bonnes pratiques</w:t>
      </w:r>
    </w:p>
    <w:p>
      <w:pPr>
        <w:pStyle w:val="ListBullet"/>
        <w:ind w:left="547"/>
      </w:pPr>
      <w:r>
        <w:t>Travaillez avec un compte personnel et verrouillez votre poste en cas d’absence.</w:t>
      </w:r>
    </w:p>
    <w:p>
      <w:pPr>
        <w:pStyle w:val="ListBullet"/>
        <w:ind w:left="547"/>
      </w:pPr>
      <w:r>
        <w:t>Vérifiez toujours le client, la devise, le montant, la période et le compte avant confirmation.</w:t>
      </w:r>
    </w:p>
    <w:p>
      <w:pPr>
        <w:pStyle w:val="ListBullet"/>
        <w:ind w:left="547"/>
      </w:pPr>
      <w:r>
        <w:t>Conservez des justificatifs lisibles et nommés clairement.</w:t>
      </w:r>
    </w:p>
    <w:p>
      <w:pPr>
        <w:pStyle w:val="ListBullet"/>
        <w:ind w:left="547"/>
      </w:pPr>
      <w:r>
        <w:t>Ne dupliquez pas un client, un produit ou une facture sans recherche préalable.</w:t>
      </w:r>
    </w:p>
    <w:p>
      <w:pPr>
        <w:pStyle w:val="ListBullet"/>
        <w:ind w:left="547"/>
      </w:pPr>
      <w:r>
        <w:t>Utilisez les notes pour expliquer une exception ou une décision.</w:t>
      </w:r>
    </w:p>
    <w:p>
      <w:pPr>
        <w:pStyle w:val="ListBullet"/>
        <w:ind w:left="547"/>
      </w:pPr>
      <w:r>
        <w:t>Traitez régulièrement les alertes, notifications, factures en retard et demandes en attente.</w:t>
      </w:r>
    </w:p>
    <w:p>
      <w:pPr>
        <w:pStyle w:val="ListBullet"/>
        <w:ind w:left="547"/>
      </w:pPr>
      <w:r>
        <w:t>Signalez immédiatement toute erreur de solde ou opération non reconnue.</w:t>
      </w:r>
    </w:p>
    <w:p>
      <w:pPr>
        <w:pStyle w:val="Heading1"/>
      </w:pPr>
      <w:r>
        <w:t>12. Dépannage rapide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6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Action recommandée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Impossible de se connecter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Vérifier l’email, le clavier, le mot de passe et le statut du compte ; contacter l’administrateur.</w:t>
            </w:r>
          </w:p>
        </w:tc>
      </w:tr>
      <w:tr>
        <w:tc>
          <w:tcPr>
            <w:tcW w:type="dxa" w:w="265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Module absent du menu</w:t>
            </w:r>
          </w:p>
        </w:tc>
        <w:tc>
          <w:tcPr>
            <w:tcW w:type="dxa" w:w="671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Le rôle ne possède probablement pas la permission nécessaire.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Formulaire refusé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Contrôler les champs obligatoires, formats, montants positifs et dates.</w:t>
            </w:r>
          </w:p>
        </w:tc>
      </w:tr>
      <w:tr>
        <w:tc>
          <w:tcPr>
            <w:tcW w:type="dxa" w:w="265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Fichier refusé</w:t>
            </w:r>
          </w:p>
        </w:tc>
        <w:tc>
          <w:tcPr>
            <w:tcW w:type="dxa" w:w="671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Utiliser PDF/JPG/PNG, respecter la taille autorisée et éviter les noms inhabituels.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Session expirée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Reconnectez-vous puis reprenez l’opération ; évitez les longues périodes sans enregistrement.</w:t>
            </w:r>
          </w:p>
        </w:tc>
      </w:tr>
      <w:tr>
        <w:tc>
          <w:tcPr>
            <w:tcW w:type="dxa" w:w="265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Solde incohérent</w:t>
            </w:r>
          </w:p>
        </w:tc>
        <w:tc>
          <w:tcPr>
            <w:tcW w:type="dxa" w:w="6710"/>
            <w:shd w:fill="F7FAFC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Ne pas corriger directement en base ; vérifier mouvements, transferts et paiements puis alerter Finance.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Facture non soldée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color w:val="24303C"/>
                <w:sz w:val="18"/>
              </w:rPr>
              <w:t>Comparer le total des paiements au reste à payer et rechercher un encaissement manquant.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20"/>
            </w:pPr>
            <w:r>
              <w:rPr>
                <w:rFonts w:ascii="Aptos" w:hAnsi="Aptos"/>
                <w:b/>
                <w:color w:val="17324D"/>
                <w:sz w:val="21"/>
              </w:rPr>
              <w:t xml:space="preserve">Assistance  </w:t>
            </w:r>
            <w:r>
              <w:rPr>
                <w:rFonts w:ascii="Aptos" w:hAnsi="Aptos"/>
                <w:color w:val="24303C"/>
                <w:sz w:val="21"/>
              </w:rPr>
              <w:t>Lors d’un signalement, communiquez votre nom, le module, la référence du dossier, l’heure approximative et le message affiché. Ne transmettez jamais votre mot de passe.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CAD6DF"/>
      </w:pBdr>
    </w:pPr>
    <w:r>
      <w:rPr>
        <w:rFonts w:ascii="Aptos" w:hAnsi="Aptos"/>
        <w:b/>
        <w:color w:val="64748B"/>
        <w:sz w:val="17"/>
      </w:rPr>
      <w:t>WAKE BUSINESS SUITE  |  WAKE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ptos" w:hAnsi="Aptos"/>
      <w:color w:val="24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FA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88" w:lineRule="auto"/>
      <w:ind w:left="547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88" w:lineRule="auto"/>
      <w:ind w:left="547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