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bank-customer-churn-analysis-using-sql"/>
    <w:p>
      <w:pPr>
        <w:pStyle w:val="Heading1"/>
      </w:pPr>
      <w:r>
        <w:t xml:space="preserve">Bank Customer Churn Analysis Using SQL</w:t>
      </w:r>
    </w:p>
    <w:bookmarkStart w:id="20" w:name="project-overview"/>
    <w:p>
      <w:pPr>
        <w:pStyle w:val="Heading2"/>
      </w:pPr>
      <w:r>
        <w:t xml:space="preserve">Project Overview</w:t>
      </w:r>
    </w:p>
    <w:p>
      <w:pPr>
        <w:pStyle w:val="FirstParagraph"/>
      </w:pPr>
      <w:r>
        <w:t xml:space="preserve">Customer retention is a critical challenge in the banking industry. Acquiring new customers is significantly more expensive than retaining existing ones. This project analyzes customer churn patterns using SQL to identify high-risk customer segments and provide actionable recommendations to improve customer retention.</w:t>
      </w:r>
    </w:p>
    <w:bookmarkEnd w:id="20"/>
    <w:bookmarkStart w:id="21" w:name="business-objective"/>
    <w:p>
      <w:pPr>
        <w:pStyle w:val="Heading2"/>
      </w:pPr>
      <w:r>
        <w:t xml:space="preserve">Business Objective</w:t>
      </w:r>
    </w:p>
    <w:p>
      <w:pPr>
        <w:pStyle w:val="FirstParagraph"/>
      </w:pPr>
      <w:r>
        <w:t xml:space="preserve">The primary objective of this project is to answer the following business questions:</w:t>
      </w:r>
    </w:p>
    <w:p>
      <w:pPr>
        <w:pStyle w:val="Compact"/>
        <w:numPr>
          <w:ilvl w:val="0"/>
          <w:numId w:val="1001"/>
        </w:numPr>
      </w:pPr>
      <w:r>
        <w:t xml:space="preserve">What is the overall churn rate?</w:t>
      </w:r>
    </w:p>
    <w:p>
      <w:pPr>
        <w:pStyle w:val="Compact"/>
        <w:numPr>
          <w:ilvl w:val="0"/>
          <w:numId w:val="1001"/>
        </w:numPr>
      </w:pPr>
      <w:r>
        <w:t xml:space="preserve">Which customer segments have the highest churn risk?</w:t>
      </w:r>
    </w:p>
    <w:p>
      <w:pPr>
        <w:pStyle w:val="Compact"/>
        <w:numPr>
          <w:ilvl w:val="0"/>
          <w:numId w:val="1001"/>
        </w:numPr>
      </w:pPr>
      <w:r>
        <w:t xml:space="preserve">Does geography influence customer churn?</w:t>
      </w:r>
    </w:p>
    <w:p>
      <w:pPr>
        <w:pStyle w:val="Compact"/>
        <w:numPr>
          <w:ilvl w:val="0"/>
          <w:numId w:val="1001"/>
        </w:numPr>
      </w:pPr>
      <w:r>
        <w:t xml:space="preserve">Does customer activity impact churn?</w:t>
      </w:r>
    </w:p>
    <w:p>
      <w:pPr>
        <w:pStyle w:val="Compact"/>
        <w:numPr>
          <w:ilvl w:val="0"/>
          <w:numId w:val="1001"/>
        </w:numPr>
      </w:pPr>
      <w:r>
        <w:t xml:space="preserve">Does age influence churn behavior?</w:t>
      </w:r>
    </w:p>
    <w:p>
      <w:pPr>
        <w:pStyle w:val="Compact"/>
        <w:numPr>
          <w:ilvl w:val="0"/>
          <w:numId w:val="1001"/>
        </w:numPr>
      </w:pPr>
      <w:r>
        <w:t xml:space="preserve">Which customer segment should be prioritized for retention campaigns?</w:t>
      </w:r>
    </w:p>
    <w:bookmarkEnd w:id="21"/>
    <w:bookmarkStart w:id="22" w:name="tools-technologies"/>
    <w:p>
      <w:pPr>
        <w:pStyle w:val="Heading2"/>
      </w:pPr>
      <w:r>
        <w:t xml:space="preserve">Tools &amp; Technologies</w:t>
      </w:r>
    </w:p>
    <w:p>
      <w:pPr>
        <w:pStyle w:val="Compact"/>
        <w:numPr>
          <w:ilvl w:val="0"/>
          <w:numId w:val="1002"/>
        </w:numPr>
      </w:pPr>
      <w:r>
        <w:t xml:space="preserve">SQL (MySQL)</w:t>
      </w:r>
    </w:p>
    <w:p>
      <w:pPr>
        <w:pStyle w:val="Compact"/>
        <w:numPr>
          <w:ilvl w:val="0"/>
          <w:numId w:val="1002"/>
        </w:numPr>
      </w:pPr>
      <w:r>
        <w:t xml:space="preserve">Data Aggregation Functions</w:t>
      </w:r>
    </w:p>
    <w:p>
      <w:pPr>
        <w:pStyle w:val="Compact"/>
        <w:numPr>
          <w:ilvl w:val="0"/>
          <w:numId w:val="1002"/>
        </w:numPr>
      </w:pPr>
      <w:r>
        <w:t xml:space="preserve">CASE WHEN Statements</w:t>
      </w:r>
    </w:p>
    <w:p>
      <w:pPr>
        <w:pStyle w:val="Compact"/>
        <w:numPr>
          <w:ilvl w:val="0"/>
          <w:numId w:val="1002"/>
        </w:numPr>
      </w:pPr>
      <w:r>
        <w:t xml:space="preserve">GROUP BY Analysis</w:t>
      </w:r>
    </w:p>
    <w:p>
      <w:pPr>
        <w:pStyle w:val="Compact"/>
        <w:numPr>
          <w:ilvl w:val="0"/>
          <w:numId w:val="1002"/>
        </w:numPr>
      </w:pPr>
      <w:r>
        <w:t xml:space="preserve">Business Intelligence &amp; KPI Analysis</w:t>
      </w:r>
    </w:p>
    <w:bookmarkEnd w:id="22"/>
    <w:bookmarkStart w:id="23" w:name="dataset-description"/>
    <w:p>
      <w:pPr>
        <w:pStyle w:val="Heading2"/>
      </w:pPr>
      <w:r>
        <w:t xml:space="preserve">Dataset Description</w:t>
      </w:r>
    </w:p>
    <w:p>
      <w:pPr>
        <w:pStyle w:val="FirstParagraph"/>
      </w:pPr>
      <w:r>
        <w:t xml:space="preserve">The dataset contains customer demographic and banking information, including:</w:t>
      </w:r>
    </w:p>
    <w:p>
      <w:pPr>
        <w:pStyle w:val="Compact"/>
        <w:numPr>
          <w:ilvl w:val="0"/>
          <w:numId w:val="1003"/>
        </w:numPr>
      </w:pPr>
      <w:r>
        <w:t xml:space="preserve">Geography</w:t>
      </w:r>
    </w:p>
    <w:p>
      <w:pPr>
        <w:pStyle w:val="Compact"/>
        <w:numPr>
          <w:ilvl w:val="0"/>
          <w:numId w:val="1003"/>
        </w:numPr>
      </w:pPr>
      <w:r>
        <w:t xml:space="preserve">Gender</w:t>
      </w:r>
    </w:p>
    <w:p>
      <w:pPr>
        <w:pStyle w:val="Compact"/>
        <w:numPr>
          <w:ilvl w:val="0"/>
          <w:numId w:val="1003"/>
        </w:numPr>
      </w:pPr>
      <w:r>
        <w:t xml:space="preserve">Age</w:t>
      </w:r>
    </w:p>
    <w:p>
      <w:pPr>
        <w:pStyle w:val="Compact"/>
        <w:numPr>
          <w:ilvl w:val="0"/>
          <w:numId w:val="1003"/>
        </w:numPr>
      </w:pPr>
      <w:r>
        <w:t xml:space="preserve">Credit Score</w:t>
      </w:r>
    </w:p>
    <w:p>
      <w:pPr>
        <w:pStyle w:val="Compact"/>
        <w:numPr>
          <w:ilvl w:val="0"/>
          <w:numId w:val="1003"/>
        </w:numPr>
      </w:pPr>
      <w:r>
        <w:t xml:space="preserve">Balance</w:t>
      </w:r>
    </w:p>
    <w:p>
      <w:pPr>
        <w:pStyle w:val="Compact"/>
        <w:numPr>
          <w:ilvl w:val="0"/>
          <w:numId w:val="1003"/>
        </w:numPr>
      </w:pPr>
      <w:r>
        <w:t xml:space="preserve">Number of Products</w:t>
      </w:r>
    </w:p>
    <w:p>
      <w:pPr>
        <w:pStyle w:val="Compact"/>
        <w:numPr>
          <w:ilvl w:val="0"/>
          <w:numId w:val="1003"/>
        </w:numPr>
      </w:pPr>
      <w:r>
        <w:t xml:space="preserve">Active Member Status</w:t>
      </w:r>
    </w:p>
    <w:p>
      <w:pPr>
        <w:pStyle w:val="Compact"/>
        <w:numPr>
          <w:ilvl w:val="0"/>
          <w:numId w:val="1003"/>
        </w:numPr>
      </w:pPr>
      <w:r>
        <w:t xml:space="preserve">Estimated Salary</w:t>
      </w:r>
    </w:p>
    <w:p>
      <w:pPr>
        <w:pStyle w:val="Compact"/>
        <w:numPr>
          <w:ilvl w:val="0"/>
          <w:numId w:val="1003"/>
        </w:numPr>
      </w:pPr>
      <w:r>
        <w:t xml:space="preserve">Churn Status</w:t>
      </w:r>
    </w:p>
    <w:p>
      <w:pPr>
        <w:pStyle w:val="FirstParagraph"/>
      </w:pPr>
      <w:r>
        <w:t xml:space="preserve">Target Variable:</w:t>
      </w:r>
    </w:p>
    <w:p>
      <w:pPr>
        <w:pStyle w:val="Compact"/>
        <w:numPr>
          <w:ilvl w:val="0"/>
          <w:numId w:val="1004"/>
        </w:numPr>
      </w:pPr>
      <w:r>
        <w:t xml:space="preserve">Churn = 1 (Customer Left)</w:t>
      </w:r>
    </w:p>
    <w:p>
      <w:pPr>
        <w:pStyle w:val="Compact"/>
        <w:numPr>
          <w:ilvl w:val="0"/>
          <w:numId w:val="1004"/>
        </w:numPr>
      </w:pPr>
      <w:r>
        <w:t xml:space="preserve">Churn = 0 (Customer Retained)</w:t>
      </w:r>
    </w:p>
    <w:p>
      <w:r>
        <w:pict>
          <v:rect style="width:0;height:1.5pt" o:hralign="center" o:hrstd="t" o:hr="t"/>
        </w:pict>
      </w:r>
    </w:p>
    <w:bookmarkEnd w:id="23"/>
    <w:bookmarkEnd w:id="24"/>
    <w:bookmarkStart w:id="28" w:name="kpi-definition"/>
    <w:p>
      <w:pPr>
        <w:pStyle w:val="Heading1"/>
      </w:pPr>
      <w:r>
        <w:t xml:space="preserve">KPI Definition</w:t>
      </w:r>
    </w:p>
    <w:bookmarkStart w:id="25" w:name="churn-rate"/>
    <w:p>
      <w:pPr>
        <w:pStyle w:val="Heading3"/>
      </w:pPr>
      <w:r>
        <w:t xml:space="preserve">Churn Rate</w:t>
      </w:r>
    </w:p>
    <w:p>
      <w:pPr>
        <w:pStyle w:val="FirstParagraph"/>
      </w:pPr>
      <w:r>
        <w:t xml:space="preserve">Formula:</w:t>
      </w:r>
    </w:p>
    <w:p>
      <w:pPr>
        <w:pStyle w:val="BodyText"/>
      </w:pPr>
      <w:r>
        <w:t xml:space="preserve">Churn Rate = Churned Customers / Total Customers × 100</w:t>
      </w:r>
    </w:p>
    <w:bookmarkEnd w:id="25"/>
    <w:bookmarkStart w:id="26" w:name="overall-churn-rate"/>
    <w:p>
      <w:pPr>
        <w:pStyle w:val="Heading3"/>
      </w:pPr>
      <w:r>
        <w:t xml:space="preserve">Overall Churn Rate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Customers</w:t>
            </w:r>
          </w:p>
        </w:tc>
        <w:tc>
          <w:tcPr/>
          <w:p>
            <w:pPr>
              <w:pStyle w:val="Compact"/>
            </w:pPr>
            <w:r>
              <w:t xml:space="preserve">10,000</w:t>
            </w:r>
          </w:p>
        </w:tc>
      </w:tr>
      <w:tr>
        <w:tc>
          <w:tcPr/>
          <w:p>
            <w:pPr>
              <w:pStyle w:val="Compact"/>
            </w:pPr>
            <w:r>
              <w:t xml:space="preserve">Churned Customers</w:t>
            </w:r>
          </w:p>
        </w:tc>
        <w:tc>
          <w:tcPr/>
          <w:p>
            <w:pPr>
              <w:pStyle w:val="Compact"/>
            </w:pPr>
            <w:r>
              <w:t xml:space="preserve">2,037</w:t>
            </w:r>
          </w:p>
        </w:tc>
      </w:tr>
      <w:tr>
        <w:tc>
          <w:tcPr/>
          <w:p>
            <w:pPr>
              <w:pStyle w:val="Compact"/>
            </w:pPr>
            <w:r>
              <w:t xml:space="preserve">Churn Rate</w:t>
            </w:r>
          </w:p>
        </w:tc>
        <w:tc>
          <w:tcPr/>
          <w:p>
            <w:pPr>
              <w:pStyle w:val="Compact"/>
            </w:pPr>
            <w:r>
              <w:t xml:space="preserve">20.37%</w:t>
            </w:r>
          </w:p>
        </w:tc>
      </w:tr>
    </w:tbl>
    <w:bookmarkEnd w:id="26"/>
    <w:bookmarkStart w:id="27" w:name="business-insight"/>
    <w:p>
      <w:pPr>
        <w:pStyle w:val="Heading3"/>
      </w:pPr>
      <w:r>
        <w:t xml:space="preserve">Business Insight</w:t>
      </w:r>
    </w:p>
    <w:p>
      <w:pPr>
        <w:pStyle w:val="FirstParagraph"/>
      </w:pPr>
      <w:r>
        <w:t xml:space="preserve">Approximately 1 out of every 5 customers leaves the bank.</w:t>
      </w:r>
    </w:p>
    <w:p>
      <w:r>
        <w:pict>
          <v:rect style="width:0;height:1.5pt" o:hralign="center" o:hrstd="t" o:hr="t"/>
        </w:pict>
      </w:r>
    </w:p>
    <w:bookmarkEnd w:id="27"/>
    <w:bookmarkEnd w:id="28"/>
    <w:bookmarkStart w:id="31" w:name="analysis-1-active-vs-inactive-customers"/>
    <w:p>
      <w:pPr>
        <w:pStyle w:val="Heading1"/>
      </w:pPr>
      <w:r>
        <w:t xml:space="preserve">Analysis 1: Active vs Inactive Customers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Active Member</w:t>
            </w:r>
          </w:p>
        </w:tc>
        <w:tc>
          <w:tcPr/>
          <w:p>
            <w:pPr>
              <w:pStyle w:val="Compact"/>
            </w:pPr>
            <w:r>
              <w:t xml:space="preserve">Customers</w:t>
            </w:r>
          </w:p>
        </w:tc>
        <w:tc>
          <w:tcPr/>
          <w:p>
            <w:pPr>
              <w:pStyle w:val="Compact"/>
            </w:pPr>
            <w:r>
              <w:t xml:space="preserve">Churn Rate</w:t>
            </w:r>
          </w:p>
        </w:tc>
      </w:tr>
      <w:tr>
        <w:tc>
          <w:tcPr/>
          <w:p>
            <w:pPr>
              <w:pStyle w:val="Compact"/>
            </w:pPr>
            <w:r>
              <w:t xml:space="preserve">Active</w:t>
            </w:r>
          </w:p>
        </w:tc>
        <w:tc>
          <w:tcPr/>
          <w:p>
            <w:pPr>
              <w:pStyle w:val="Compact"/>
            </w:pPr>
            <w:r>
              <w:t xml:space="preserve">5,151</w:t>
            </w:r>
          </w:p>
        </w:tc>
        <w:tc>
          <w:tcPr/>
          <w:p>
            <w:pPr>
              <w:pStyle w:val="Compact"/>
            </w:pPr>
            <w:r>
              <w:t xml:space="preserve">14.27%</w:t>
            </w:r>
          </w:p>
        </w:tc>
      </w:tr>
      <w:tr>
        <w:tc>
          <w:tcPr/>
          <w:p>
            <w:pPr>
              <w:pStyle w:val="Compact"/>
            </w:pPr>
            <w:r>
              <w:t xml:space="preserve">Inactive</w:t>
            </w:r>
          </w:p>
        </w:tc>
        <w:tc>
          <w:tcPr/>
          <w:p>
            <w:pPr>
              <w:pStyle w:val="Compact"/>
            </w:pPr>
            <w:r>
              <w:t xml:space="preserve">4,849</w:t>
            </w:r>
          </w:p>
        </w:tc>
        <w:tc>
          <w:tcPr/>
          <w:p>
            <w:pPr>
              <w:pStyle w:val="Compact"/>
            </w:pPr>
            <w:r>
              <w:t xml:space="preserve">26.85%</w:t>
            </w:r>
          </w:p>
        </w:tc>
      </w:tr>
    </w:tbl>
    <w:bookmarkStart w:id="29" w:name="insight"/>
    <w:p>
      <w:pPr>
        <w:pStyle w:val="Heading3"/>
      </w:pPr>
      <w:r>
        <w:t xml:space="preserve">Insight</w:t>
      </w:r>
    </w:p>
    <w:p>
      <w:pPr>
        <w:pStyle w:val="FirstParagraph"/>
      </w:pPr>
      <w:r>
        <w:t xml:space="preserve">Inactive customers are nearly twice as likely to churn compared to active customers.</w:t>
      </w:r>
    </w:p>
    <w:bookmarkEnd w:id="29"/>
    <w:bookmarkStart w:id="30" w:name="recommendation"/>
    <w:p>
      <w:pPr>
        <w:pStyle w:val="Heading3"/>
      </w:pPr>
      <w:r>
        <w:t xml:space="preserve">Recommendation</w:t>
      </w:r>
    </w:p>
    <w:p>
      <w:pPr>
        <w:pStyle w:val="FirstParagraph"/>
      </w:pPr>
      <w:r>
        <w:t xml:space="preserve">Implement customer engagement campaigns targeting inactive customers through email marketing, mobile app notifications, and personalized offers.</w:t>
      </w:r>
    </w:p>
    <w:p>
      <w:r>
        <w:pict>
          <v:rect style="width:0;height:1.5pt" o:hralign="center" o:hrstd="t" o:hr="t"/>
        </w:pict>
      </w:r>
    </w:p>
    <w:bookmarkEnd w:id="30"/>
    <w:bookmarkEnd w:id="31"/>
    <w:bookmarkStart w:id="34" w:name="analysis-2-geography-analysis"/>
    <w:p>
      <w:pPr>
        <w:pStyle w:val="Heading1"/>
      </w:pPr>
      <w:r>
        <w:t xml:space="preserve">Analysis 2: Geography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Geography</w:t>
            </w:r>
          </w:p>
        </w:tc>
        <w:tc>
          <w:tcPr/>
          <w:p>
            <w:pPr>
              <w:pStyle w:val="Compact"/>
            </w:pPr>
            <w:r>
              <w:t xml:space="preserve">Churn Rate</w:t>
            </w:r>
          </w:p>
        </w:tc>
      </w:tr>
      <w:tr>
        <w:tc>
          <w:tcPr/>
          <w:p>
            <w:pPr>
              <w:pStyle w:val="Compact"/>
            </w:pPr>
            <w:r>
              <w:t xml:space="preserve">France</w:t>
            </w:r>
          </w:p>
        </w:tc>
        <w:tc>
          <w:tcPr/>
          <w:p>
            <w:pPr>
              <w:pStyle w:val="Compact"/>
            </w:pPr>
            <w:r>
              <w:t xml:space="preserve">16.15%</w:t>
            </w:r>
          </w:p>
        </w:tc>
      </w:tr>
      <w:tr>
        <w:tc>
          <w:tcPr/>
          <w:p>
            <w:pPr>
              <w:pStyle w:val="Compact"/>
            </w:pPr>
            <w:r>
              <w:t xml:space="preserve">Spain</w:t>
            </w:r>
          </w:p>
        </w:tc>
        <w:tc>
          <w:tcPr/>
          <w:p>
            <w:pPr>
              <w:pStyle w:val="Compact"/>
            </w:pPr>
            <w:r>
              <w:t xml:space="preserve">16.67%</w:t>
            </w:r>
          </w:p>
        </w:tc>
      </w:tr>
      <w:tr>
        <w:tc>
          <w:tcPr/>
          <w:p>
            <w:pPr>
              <w:pStyle w:val="Compact"/>
            </w:pPr>
            <w:r>
              <w:t xml:space="preserve">Germany</w:t>
            </w:r>
          </w:p>
        </w:tc>
        <w:tc>
          <w:tcPr/>
          <w:p>
            <w:pPr>
              <w:pStyle w:val="Compact"/>
            </w:pPr>
            <w:r>
              <w:t xml:space="preserve">32.44%</w:t>
            </w:r>
          </w:p>
        </w:tc>
      </w:tr>
    </w:tbl>
    <w:bookmarkStart w:id="32" w:name="insight-1"/>
    <w:p>
      <w:pPr>
        <w:pStyle w:val="Heading3"/>
      </w:pPr>
      <w:r>
        <w:t xml:space="preserve">Insight</w:t>
      </w:r>
    </w:p>
    <w:p>
      <w:pPr>
        <w:pStyle w:val="FirstParagraph"/>
      </w:pPr>
      <w:r>
        <w:t xml:space="preserve">Germany exhibits the highest churn rate, nearly double that of France and Spain.</w:t>
      </w:r>
    </w:p>
    <w:bookmarkEnd w:id="32"/>
    <w:bookmarkStart w:id="33" w:name="recommendation-1"/>
    <w:p>
      <w:pPr>
        <w:pStyle w:val="Heading3"/>
      </w:pPr>
      <w:r>
        <w:t xml:space="preserve">Recommendation</w:t>
      </w:r>
    </w:p>
    <w:p>
      <w:pPr>
        <w:pStyle w:val="FirstParagraph"/>
      </w:pPr>
      <w:r>
        <w:t xml:space="preserve">Investigate market-specific factors affecting German customers and prioritize retention strategies within this region.</w:t>
      </w:r>
    </w:p>
    <w:p>
      <w:r>
        <w:pict>
          <v:rect style="width:0;height:1.5pt" o:hralign="center" o:hrstd="t" o:hr="t"/>
        </w:pict>
      </w:r>
    </w:p>
    <w:bookmarkEnd w:id="33"/>
    <w:bookmarkEnd w:id="34"/>
    <w:bookmarkStart w:id="37" w:name="analysis-3-geography-gender-analysis"/>
    <w:p>
      <w:pPr>
        <w:pStyle w:val="Heading1"/>
      </w:pPr>
      <w:r>
        <w:t xml:space="preserve">Analysis 3: Geography &amp; Gender Analysis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Geography</w:t>
            </w:r>
          </w:p>
        </w:tc>
        <w:tc>
          <w:tcPr/>
          <w:p>
            <w:pPr>
              <w:pStyle w:val="Compact"/>
            </w:pPr>
            <w:r>
              <w:t xml:space="preserve">Gender</w:t>
            </w:r>
          </w:p>
        </w:tc>
        <w:tc>
          <w:tcPr/>
          <w:p>
            <w:pPr>
              <w:pStyle w:val="Compact"/>
            </w:pPr>
            <w:r>
              <w:t xml:space="preserve">Churn Rate</w:t>
            </w:r>
          </w:p>
        </w:tc>
      </w:tr>
      <w:tr>
        <w:tc>
          <w:tcPr/>
          <w:p>
            <w:pPr>
              <w:pStyle w:val="Compact"/>
            </w:pPr>
            <w:r>
              <w:t xml:space="preserve">Germany</w:t>
            </w:r>
          </w:p>
        </w:tc>
        <w:tc>
          <w:tcPr/>
          <w:p>
            <w:pPr>
              <w:pStyle w:val="Compact"/>
            </w:pPr>
            <w:r>
              <w:t xml:space="preserve">Female</w:t>
            </w:r>
          </w:p>
        </w:tc>
        <w:tc>
          <w:tcPr/>
          <w:p>
            <w:pPr>
              <w:pStyle w:val="Compact"/>
            </w:pPr>
            <w:r>
              <w:t xml:space="preserve">37.55%</w:t>
            </w:r>
          </w:p>
        </w:tc>
      </w:tr>
      <w:tr>
        <w:tc>
          <w:tcPr/>
          <w:p>
            <w:pPr>
              <w:pStyle w:val="Compact"/>
            </w:pPr>
            <w:r>
              <w:t xml:space="preserve">Germany</w:t>
            </w:r>
          </w:p>
        </w:tc>
        <w:tc>
          <w:tcPr/>
          <w:p>
            <w:pPr>
              <w:pStyle w:val="Compact"/>
            </w:pPr>
            <w:r>
              <w:t xml:space="preserve">Male</w:t>
            </w:r>
          </w:p>
        </w:tc>
        <w:tc>
          <w:tcPr/>
          <w:p>
            <w:pPr>
              <w:pStyle w:val="Compact"/>
            </w:pPr>
            <w:r>
              <w:t xml:space="preserve">27.81%</w:t>
            </w:r>
          </w:p>
        </w:tc>
      </w:tr>
      <w:tr>
        <w:tc>
          <w:tcPr/>
          <w:p>
            <w:pPr>
              <w:pStyle w:val="Compact"/>
            </w:pPr>
            <w:r>
              <w:t xml:space="preserve">France</w:t>
            </w:r>
          </w:p>
        </w:tc>
        <w:tc>
          <w:tcPr/>
          <w:p>
            <w:pPr>
              <w:pStyle w:val="Compact"/>
            </w:pPr>
            <w:r>
              <w:t xml:space="preserve">Female</w:t>
            </w:r>
          </w:p>
        </w:tc>
        <w:tc>
          <w:tcPr/>
          <w:p>
            <w:pPr>
              <w:pStyle w:val="Compact"/>
            </w:pPr>
            <w:r>
              <w:t xml:space="preserve">20.34%</w:t>
            </w:r>
          </w:p>
        </w:tc>
      </w:tr>
      <w:tr>
        <w:tc>
          <w:tcPr/>
          <w:p>
            <w:pPr>
              <w:pStyle w:val="Compact"/>
            </w:pPr>
            <w:r>
              <w:t xml:space="preserve">France</w:t>
            </w:r>
          </w:p>
        </w:tc>
        <w:tc>
          <w:tcPr/>
          <w:p>
            <w:pPr>
              <w:pStyle w:val="Compact"/>
            </w:pPr>
            <w:r>
              <w:t xml:space="preserve">Male</w:t>
            </w:r>
          </w:p>
        </w:tc>
        <w:tc>
          <w:tcPr/>
          <w:p>
            <w:pPr>
              <w:pStyle w:val="Compact"/>
            </w:pPr>
            <w:r>
              <w:t xml:space="preserve">12.71%</w:t>
            </w:r>
          </w:p>
        </w:tc>
      </w:tr>
      <w:tr>
        <w:tc>
          <w:tcPr/>
          <w:p>
            <w:pPr>
              <w:pStyle w:val="Compact"/>
            </w:pPr>
            <w:r>
              <w:t xml:space="preserve">Spain</w:t>
            </w:r>
          </w:p>
        </w:tc>
        <w:tc>
          <w:tcPr/>
          <w:p>
            <w:pPr>
              <w:pStyle w:val="Compact"/>
            </w:pPr>
            <w:r>
              <w:t xml:space="preserve">Female</w:t>
            </w:r>
          </w:p>
        </w:tc>
        <w:tc>
          <w:tcPr/>
          <w:p>
            <w:pPr>
              <w:pStyle w:val="Compact"/>
            </w:pPr>
            <w:r>
              <w:t xml:space="preserve">21.21%</w:t>
            </w:r>
          </w:p>
        </w:tc>
      </w:tr>
      <w:tr>
        <w:tc>
          <w:tcPr/>
          <w:p>
            <w:pPr>
              <w:pStyle w:val="Compact"/>
            </w:pPr>
            <w:r>
              <w:t xml:space="preserve">Spain</w:t>
            </w:r>
          </w:p>
        </w:tc>
        <w:tc>
          <w:tcPr/>
          <w:p>
            <w:pPr>
              <w:pStyle w:val="Compact"/>
            </w:pPr>
            <w:r>
              <w:t xml:space="preserve">Male</w:t>
            </w:r>
          </w:p>
        </w:tc>
        <w:tc>
          <w:tcPr/>
          <w:p>
            <w:pPr>
              <w:pStyle w:val="Compact"/>
            </w:pPr>
            <w:r>
              <w:t xml:space="preserve">13.11%</w:t>
            </w:r>
          </w:p>
        </w:tc>
      </w:tr>
    </w:tbl>
    <w:bookmarkStart w:id="35" w:name="insight-2"/>
    <w:p>
      <w:pPr>
        <w:pStyle w:val="Heading3"/>
      </w:pPr>
      <w:r>
        <w:t xml:space="preserve">Insight</w:t>
      </w:r>
    </w:p>
    <w:p>
      <w:pPr>
        <w:pStyle w:val="FirstParagraph"/>
      </w:pPr>
      <w:r>
        <w:t xml:space="preserve">German female customers represent the highest-risk demographic segment identified during geographic analysis.</w:t>
      </w:r>
    </w:p>
    <w:bookmarkEnd w:id="35"/>
    <w:bookmarkStart w:id="36" w:name="recommendation-2"/>
    <w:p>
      <w:pPr>
        <w:pStyle w:val="Heading3"/>
      </w:pPr>
      <w:r>
        <w:t xml:space="preserve">Recommendation</w:t>
      </w:r>
    </w:p>
    <w:p>
      <w:pPr>
        <w:pStyle w:val="FirstParagraph"/>
      </w:pPr>
      <w:r>
        <w:t xml:space="preserve">Develop targeted retention programs and personalized offers for female customers in Germany.</w:t>
      </w:r>
    </w:p>
    <w:p>
      <w:r>
        <w:pict>
          <v:rect style="width:0;height:1.5pt" o:hralign="center" o:hrstd="t" o:hr="t"/>
        </w:pict>
      </w:r>
    </w:p>
    <w:bookmarkEnd w:id="36"/>
    <w:bookmarkEnd w:id="37"/>
    <w:bookmarkStart w:id="40" w:name="analysis-4-age-analysis"/>
    <w:p>
      <w:pPr>
        <w:pStyle w:val="Heading1"/>
      </w:pPr>
      <w:r>
        <w:t xml:space="preserve">Analysis 4: Age Analysis</w:t>
      </w:r>
    </w:p>
    <w:bookmarkStart w:id="38" w:name="average-age-comparison"/>
    <w:p>
      <w:pPr>
        <w:pStyle w:val="Heading3"/>
      </w:pPr>
      <w:r>
        <w:t xml:space="preserve">Average Age 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Customer Type</w:t>
            </w:r>
          </w:p>
        </w:tc>
        <w:tc>
          <w:tcPr/>
          <w:p>
            <w:pPr>
              <w:pStyle w:val="Compact"/>
            </w:pPr>
            <w:r>
              <w:t xml:space="preserve">Average Age</w:t>
            </w:r>
          </w:p>
        </w:tc>
      </w:tr>
      <w:tr>
        <w:tc>
          <w:tcPr/>
          <w:p>
            <w:pPr>
              <w:pStyle w:val="Compact"/>
            </w:pPr>
            <w:r>
              <w:t xml:space="preserve">Churned Customers</w:t>
            </w:r>
          </w:p>
        </w:tc>
        <w:tc>
          <w:tcPr/>
          <w:p>
            <w:pPr>
              <w:pStyle w:val="Compact"/>
            </w:pPr>
            <w:r>
              <w:t xml:space="preserve">44.84</w:t>
            </w:r>
          </w:p>
        </w:tc>
      </w:tr>
      <w:tr>
        <w:tc>
          <w:tcPr/>
          <w:p>
            <w:pPr>
              <w:pStyle w:val="Compact"/>
            </w:pPr>
            <w:r>
              <w:t xml:space="preserve">Retained Customers</w:t>
            </w:r>
          </w:p>
        </w:tc>
        <w:tc>
          <w:tcPr/>
          <w:p>
            <w:pPr>
              <w:pStyle w:val="Compact"/>
            </w:pPr>
            <w:r>
              <w:t xml:space="preserve">37.41</w:t>
            </w:r>
          </w:p>
        </w:tc>
      </w:tr>
    </w:tbl>
    <w:bookmarkEnd w:id="38"/>
    <w:bookmarkStart w:id="39" w:name="insight-3"/>
    <w:p>
      <w:pPr>
        <w:pStyle w:val="Heading3"/>
      </w:pPr>
      <w:r>
        <w:t xml:space="preserve">Insight</w:t>
      </w:r>
    </w:p>
    <w:p>
      <w:pPr>
        <w:pStyle w:val="FirstParagraph"/>
      </w:pPr>
      <w:r>
        <w:t xml:space="preserve">Customers who churn are approximately 7 years older on average than customers who stay with the bank.</w:t>
      </w:r>
    </w:p>
    <w:p>
      <w:r>
        <w:pict>
          <v:rect style="width:0;height:1.5pt" o:hralign="center" o:hrstd="t" o:hr="t"/>
        </w:pict>
      </w:r>
    </w:p>
    <w:bookmarkEnd w:id="39"/>
    <w:bookmarkEnd w:id="40"/>
    <w:bookmarkStart w:id="43" w:name="analysis-5-churn-rate-by-age-group"/>
    <w:p>
      <w:pPr>
        <w:pStyle w:val="Heading1"/>
      </w:pPr>
      <w:r>
        <w:t xml:space="preserve">Analysis 5: Churn Rate by Age Group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Age Group</w:t>
            </w:r>
          </w:p>
        </w:tc>
        <w:tc>
          <w:tcPr/>
          <w:p>
            <w:pPr>
              <w:pStyle w:val="Compact"/>
            </w:pPr>
            <w:r>
              <w:t xml:space="preserve">Churn Rate</w:t>
            </w:r>
          </w:p>
        </w:tc>
      </w:tr>
      <w:tr>
        <w:tc>
          <w:tcPr/>
          <w:p>
            <w:pPr>
              <w:pStyle w:val="Compact"/>
            </w:pPr>
            <w:r>
              <w:t xml:space="preserve">18-30</w:t>
            </w:r>
          </w:p>
        </w:tc>
        <w:tc>
          <w:tcPr/>
          <w:p>
            <w:pPr>
              <w:pStyle w:val="Compact"/>
            </w:pPr>
            <w:r>
              <w:t xml:space="preserve">7.52%</w:t>
            </w:r>
          </w:p>
        </w:tc>
      </w:tr>
      <w:tr>
        <w:tc>
          <w:tcPr/>
          <w:p>
            <w:pPr>
              <w:pStyle w:val="Compact"/>
            </w:pPr>
            <w:r>
              <w:t xml:space="preserve">31-40</w:t>
            </w:r>
          </w:p>
        </w:tc>
        <w:tc>
          <w:tcPr/>
          <w:p>
            <w:pPr>
              <w:pStyle w:val="Compact"/>
            </w:pPr>
            <w:r>
              <w:t xml:space="preserve">12.09%</w:t>
            </w:r>
          </w:p>
        </w:tc>
      </w:tr>
      <w:tr>
        <w:tc>
          <w:tcPr/>
          <w:p>
            <w:pPr>
              <w:pStyle w:val="Compact"/>
            </w:pPr>
            <w:r>
              <w:t xml:space="preserve">41-50</w:t>
            </w:r>
          </w:p>
        </w:tc>
        <w:tc>
          <w:tcPr/>
          <w:p>
            <w:pPr>
              <w:pStyle w:val="Compact"/>
            </w:pPr>
            <w:r>
              <w:t xml:space="preserve">33.97%</w:t>
            </w:r>
          </w:p>
        </w:tc>
      </w:tr>
      <w:tr>
        <w:tc>
          <w:tcPr/>
          <w:p>
            <w:pPr>
              <w:pStyle w:val="Compact"/>
            </w:pPr>
            <w:r>
              <w:t xml:space="preserve">51-60</w:t>
            </w:r>
          </w:p>
        </w:tc>
        <w:tc>
          <w:tcPr/>
          <w:p>
            <w:pPr>
              <w:pStyle w:val="Compact"/>
            </w:pPr>
            <w:r>
              <w:t xml:space="preserve">56.21%</w:t>
            </w:r>
          </w:p>
        </w:tc>
      </w:tr>
      <w:tr>
        <w:tc>
          <w:tcPr/>
          <w:p>
            <w:pPr>
              <w:pStyle w:val="Compact"/>
            </w:pPr>
            <w:r>
              <w:t xml:space="preserve">60+</w:t>
            </w:r>
          </w:p>
        </w:tc>
        <w:tc>
          <w:tcPr/>
          <w:p>
            <w:pPr>
              <w:pStyle w:val="Compact"/>
            </w:pPr>
            <w:r>
              <w:t xml:space="preserve">24.78%</w:t>
            </w:r>
          </w:p>
        </w:tc>
      </w:tr>
    </w:tbl>
    <w:bookmarkStart w:id="41" w:name="insight-4"/>
    <w:p>
      <w:pPr>
        <w:pStyle w:val="Heading3"/>
      </w:pPr>
      <w:r>
        <w:t xml:space="preserve">Insight</w:t>
      </w:r>
    </w:p>
    <w:p>
      <w:pPr>
        <w:pStyle w:val="FirstParagraph"/>
      </w:pPr>
      <w:r>
        <w:t xml:space="preserve">Churn increases significantly with age, peaking within the 51–60 age segment.</w:t>
      </w:r>
    </w:p>
    <w:bookmarkEnd w:id="41"/>
    <w:bookmarkStart w:id="42" w:name="recommendation-3"/>
    <w:p>
      <w:pPr>
        <w:pStyle w:val="Heading3"/>
      </w:pPr>
      <w:r>
        <w:t xml:space="preserve">Recommendation</w:t>
      </w:r>
    </w:p>
    <w:p>
      <w:pPr>
        <w:pStyle w:val="FirstParagraph"/>
      </w:pPr>
      <w:r>
        <w:t xml:space="preserve">Develop age-specific retention initiatives targeting customers approaching retirement age.</w:t>
      </w:r>
    </w:p>
    <w:p>
      <w:r>
        <w:pict>
          <v:rect style="width:0;height:1.5pt" o:hralign="center" o:hrstd="t" o:hr="t"/>
        </w:pict>
      </w:r>
    </w:p>
    <w:bookmarkEnd w:id="42"/>
    <w:bookmarkEnd w:id="43"/>
    <w:bookmarkStart w:id="46" w:name="analysis-6-age-group-activity-status"/>
    <w:p>
      <w:pPr>
        <w:pStyle w:val="Heading1"/>
      </w:pPr>
      <w:r>
        <w:t xml:space="preserve">Analysis 6: Age Group &amp; Activity Status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Age Group</w:t>
            </w:r>
          </w:p>
        </w:tc>
        <w:tc>
          <w:tcPr/>
          <w:p>
            <w:pPr>
              <w:pStyle w:val="Compact"/>
            </w:pPr>
            <w:r>
              <w:t xml:space="preserve">Active Member</w:t>
            </w:r>
          </w:p>
        </w:tc>
        <w:tc>
          <w:tcPr/>
          <w:p>
            <w:pPr>
              <w:pStyle w:val="Compact"/>
            </w:pPr>
            <w:r>
              <w:t xml:space="preserve">Churn Rate</w:t>
            </w:r>
          </w:p>
        </w:tc>
      </w:tr>
      <w:tr>
        <w:tc>
          <w:tcPr/>
          <w:p>
            <w:pPr>
              <w:pStyle w:val="Compact"/>
            </w:pPr>
            <w:r>
              <w:t xml:space="preserve">51-60</w:t>
            </w:r>
          </w:p>
        </w:tc>
        <w:tc>
          <w:tcPr/>
          <w:p>
            <w:pPr>
              <w:pStyle w:val="Compact"/>
            </w:pPr>
            <w:r>
              <w:t xml:space="preserve">Active</w:t>
            </w:r>
          </w:p>
        </w:tc>
        <w:tc>
          <w:tcPr/>
          <w:p>
            <w:pPr>
              <w:pStyle w:val="Compact"/>
            </w:pPr>
            <w:r>
              <w:t xml:space="preserve">34.71%</w:t>
            </w:r>
          </w:p>
        </w:tc>
      </w:tr>
      <w:tr>
        <w:tc>
          <w:tcPr/>
          <w:p>
            <w:pPr>
              <w:pStyle w:val="Compact"/>
            </w:pPr>
            <w:r>
              <w:t xml:space="preserve">51-60</w:t>
            </w:r>
          </w:p>
        </w:tc>
        <w:tc>
          <w:tcPr/>
          <w:p>
            <w:pPr>
              <w:pStyle w:val="Compact"/>
            </w:pPr>
            <w:r>
              <w:t xml:space="preserve">Inactive</w:t>
            </w:r>
          </w:p>
        </w:tc>
        <w:tc>
          <w:tcPr/>
          <w:p>
            <w:pPr>
              <w:pStyle w:val="Compact"/>
            </w:pPr>
            <w:r>
              <w:t xml:space="preserve">85.71%</w:t>
            </w:r>
          </w:p>
        </w:tc>
      </w:tr>
    </w:tbl>
    <w:bookmarkStart w:id="44" w:name="insight-5"/>
    <w:p>
      <w:pPr>
        <w:pStyle w:val="Heading3"/>
      </w:pPr>
      <w:r>
        <w:t xml:space="preserve">Insight</w:t>
      </w:r>
    </w:p>
    <w:p>
      <w:pPr>
        <w:pStyle w:val="FirstParagraph"/>
      </w:pPr>
      <w:r>
        <w:t xml:space="preserve">Inactive customers aged 51–60 represent the highest-risk segment identified throughout the analysis.</w:t>
      </w:r>
    </w:p>
    <w:bookmarkEnd w:id="44"/>
    <w:bookmarkStart w:id="45" w:name="recommendation-4"/>
    <w:p>
      <w:pPr>
        <w:pStyle w:val="Heading3"/>
      </w:pPr>
      <w:r>
        <w:t xml:space="preserve">Recommendation</w:t>
      </w:r>
    </w:p>
    <w:p>
      <w:pPr>
        <w:pStyle w:val="FirstParagraph"/>
      </w:pPr>
      <w:r>
        <w:t xml:space="preserve">Prioritize re-engagement campaigns for inactive customers aged 51–60 through proactive outreach and personalized retention offers.</w:t>
      </w:r>
    </w:p>
    <w:p>
      <w:r>
        <w:pict>
          <v:rect style="width:0;height:1.5pt" o:hralign="center" o:hrstd="t" o:hr="t"/>
        </w:pict>
      </w:r>
    </w:p>
    <w:bookmarkEnd w:id="45"/>
    <w:bookmarkEnd w:id="46"/>
    <w:bookmarkStart w:id="47" w:name="key-findings"/>
    <w:p>
      <w:pPr>
        <w:pStyle w:val="Heading1"/>
      </w:pPr>
      <w:r>
        <w:t xml:space="preserve">Key Findings</w:t>
      </w:r>
    </w:p>
    <w:p>
      <w:pPr>
        <w:pStyle w:val="Compact"/>
        <w:numPr>
          <w:ilvl w:val="0"/>
          <w:numId w:val="1005"/>
        </w:numPr>
      </w:pPr>
      <w:r>
        <w:t xml:space="preserve">Customer inactivity is one of the strongest indicators of churn.</w:t>
      </w:r>
    </w:p>
    <w:p>
      <w:pPr>
        <w:pStyle w:val="Compact"/>
        <w:numPr>
          <w:ilvl w:val="0"/>
          <w:numId w:val="1005"/>
        </w:numPr>
      </w:pPr>
      <w:r>
        <w:t xml:space="preserve">Germany has the highest churn rate among all countries analyzed.</w:t>
      </w:r>
    </w:p>
    <w:p>
      <w:pPr>
        <w:pStyle w:val="Compact"/>
        <w:numPr>
          <w:ilvl w:val="0"/>
          <w:numId w:val="1005"/>
        </w:numPr>
      </w:pPr>
      <w:r>
        <w:t xml:space="preserve">Female customers exhibit higher churn rates than male customers.</w:t>
      </w:r>
    </w:p>
    <w:p>
      <w:pPr>
        <w:pStyle w:val="Compact"/>
        <w:numPr>
          <w:ilvl w:val="0"/>
          <w:numId w:val="1005"/>
        </w:numPr>
      </w:pPr>
      <w:r>
        <w:t xml:space="preserve">Older customers are significantly more likely to churn.</w:t>
      </w:r>
    </w:p>
    <w:p>
      <w:pPr>
        <w:pStyle w:val="Compact"/>
        <w:numPr>
          <w:ilvl w:val="0"/>
          <w:numId w:val="1005"/>
        </w:numPr>
      </w:pPr>
      <w:r>
        <w:t xml:space="preserve">Customers aged 51–60 have the highest churn rate.</w:t>
      </w:r>
    </w:p>
    <w:p>
      <w:pPr>
        <w:pStyle w:val="Compact"/>
        <w:numPr>
          <w:ilvl w:val="0"/>
          <w:numId w:val="1005"/>
        </w:numPr>
      </w:pPr>
      <w:r>
        <w:t xml:space="preserve">Inactive customers aged 51–60 represent the most critical retention opportunity.</w:t>
      </w:r>
    </w:p>
    <w:p>
      <w:r>
        <w:pict>
          <v:rect style="width:0;height:1.5pt" o:hralign="center" o:hrstd="t" o:hr="t"/>
        </w:pict>
      </w:r>
    </w:p>
    <w:bookmarkEnd w:id="47"/>
    <w:bookmarkStart w:id="50" w:name="business-recommendations"/>
    <w:p>
      <w:pPr>
        <w:pStyle w:val="Heading1"/>
      </w:pPr>
      <w:r>
        <w:t xml:space="preserve">Business Recommendations</w:t>
      </w:r>
    </w:p>
    <w:bookmarkStart w:id="48" w:name="immediate-actions"/>
    <w:p>
      <w:pPr>
        <w:pStyle w:val="Heading3"/>
      </w:pPr>
      <w:r>
        <w:t xml:space="preserve">Immediate Actions</w:t>
      </w:r>
    </w:p>
    <w:p>
      <w:pPr>
        <w:pStyle w:val="Compact"/>
        <w:numPr>
          <w:ilvl w:val="0"/>
          <w:numId w:val="1006"/>
        </w:numPr>
      </w:pPr>
      <w:r>
        <w:t xml:space="preserve">Launch customer reactivation campaigns for inactive customers.</w:t>
      </w:r>
    </w:p>
    <w:p>
      <w:pPr>
        <w:pStyle w:val="Compact"/>
        <w:numPr>
          <w:ilvl w:val="0"/>
          <w:numId w:val="1006"/>
        </w:numPr>
      </w:pPr>
      <w:r>
        <w:t xml:space="preserve">Prioritize retention efforts for customers aged 51–60.</w:t>
      </w:r>
    </w:p>
    <w:p>
      <w:pPr>
        <w:pStyle w:val="Compact"/>
        <w:numPr>
          <w:ilvl w:val="0"/>
          <w:numId w:val="1006"/>
        </w:numPr>
      </w:pPr>
      <w:r>
        <w:t xml:space="preserve">Develop Germany-specific customer retention initiatives.</w:t>
      </w:r>
    </w:p>
    <w:p>
      <w:pPr>
        <w:pStyle w:val="Compact"/>
        <w:numPr>
          <w:ilvl w:val="0"/>
          <w:numId w:val="1006"/>
        </w:numPr>
      </w:pPr>
      <w:r>
        <w:t xml:space="preserve">Create targeted engagement programs for female customers.</w:t>
      </w:r>
    </w:p>
    <w:bookmarkEnd w:id="48"/>
    <w:bookmarkStart w:id="49" w:name="long-term-actions"/>
    <w:p>
      <w:pPr>
        <w:pStyle w:val="Heading3"/>
      </w:pPr>
      <w:r>
        <w:t xml:space="preserve">Long-Term Actions</w:t>
      </w:r>
    </w:p>
    <w:p>
      <w:pPr>
        <w:pStyle w:val="Compact"/>
        <w:numPr>
          <w:ilvl w:val="0"/>
          <w:numId w:val="1007"/>
        </w:numPr>
      </w:pPr>
      <w:r>
        <w:t xml:space="preserve">Implement churn monitoring dashboards.</w:t>
      </w:r>
    </w:p>
    <w:p>
      <w:pPr>
        <w:pStyle w:val="Compact"/>
        <w:numPr>
          <w:ilvl w:val="0"/>
          <w:numId w:val="1007"/>
        </w:numPr>
      </w:pPr>
      <w:r>
        <w:t xml:space="preserve">Develop customer risk scoring models.</w:t>
      </w:r>
    </w:p>
    <w:p>
      <w:pPr>
        <w:pStyle w:val="Compact"/>
        <w:numPr>
          <w:ilvl w:val="0"/>
          <w:numId w:val="1007"/>
        </w:numPr>
      </w:pPr>
      <w:r>
        <w:t xml:space="preserve">Create early-warning churn detection systems.</w:t>
      </w:r>
    </w:p>
    <w:p>
      <w:pPr>
        <w:pStyle w:val="Compact"/>
        <w:numPr>
          <w:ilvl w:val="0"/>
          <w:numId w:val="1007"/>
        </w:numPr>
      </w:pPr>
      <w:r>
        <w:t xml:space="preserve">Establish personalized retention programs.</w:t>
      </w:r>
    </w:p>
    <w:p>
      <w:r>
        <w:pict>
          <v:rect style="width:0;height:1.5pt" o:hralign="center" o:hrstd="t" o:hr="t"/>
        </w:pict>
      </w:r>
    </w:p>
    <w:bookmarkEnd w:id="49"/>
    <w:bookmarkEnd w:id="50"/>
    <w:bookmarkStart w:id="51" w:name="conclusion"/>
    <w:p>
      <w:pPr>
        <w:pStyle w:val="Heading1"/>
      </w:pPr>
      <w:r>
        <w:t xml:space="preserve">Conclusion</w:t>
      </w:r>
    </w:p>
    <w:p>
      <w:pPr>
        <w:pStyle w:val="FirstParagraph"/>
      </w:pPr>
      <w:r>
        <w:t xml:space="preserve">The analysis identified inactivity, age, geography, and gender as key factors influencing customer churn. The most critical customer segment identified was inactive customers aged 51–60, who exhibited an exceptionally high churn rate of 85.71%. These insights provide the bank with a clear roadmap for improving customer retention and reducing revenue loss.</w:t>
      </w:r>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2026-06-16T15:08:10Z</dcterms:created>
  <dcterms:modified xsi:type="dcterms:W3CDTF">2026-06-16T15:08:10Z</dcterms:modified>
</cp:coreProperties>
</file>

<file path=docProps/custom.xml><?xml version="1.0" encoding="utf-8"?>
<Properties xmlns="http://schemas.openxmlformats.org/officeDocument/2006/custom-properties" xmlns:vt="http://schemas.openxmlformats.org/officeDocument/2006/docPropsVTypes"/>
</file>