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 w:before="240"/>
        <w:jc w:val="center"/>
      </w:pPr>
      <w:r>
        <w:rPr>
          <w:rFonts w:ascii="Times New Roman" w:eastAsia="黑体"/>
          <w:b/>
          <w:bCs/>
          <w:color w:val="000000"/>
          <w:sz w:val="44"/>
          <w:szCs w:val="44"/>
        </w:rPr>
        <w:t xml:space="preserve">核心交互流程图（修订版）</w:t>
      </w:r>
    </w:p>
    <w:p>
      <w:pPr>
        <w:spacing w:after="240" w:before="60"/>
        <w:jc w:val="center"/>
      </w:pPr>
      <w:r>
        <w:rPr>
          <w:rFonts w:ascii="Times New Roman" w:eastAsia="宋体"/>
          <w:b w:val="false"/>
          <w:bCs w:val="false"/>
          <w:color w:val="808080"/>
          <w:sz w:val="22"/>
          <w:szCs w:val="22"/>
        </w:rPr>
        <w:t xml:space="preserve">项目：小型二供泵房数字孪生监控系统　｜　版本：v1.1　｜　日期：2026-09-23　｜　编制：产品经理（PM）</w:t>
      </w:r>
    </w:p>
    <w:p>
      <w:pPr>
        <w:pBdr>
          <w:left w:val="single" w:color="808080" w:sz="12" w:space="8"/>
        </w:pBdr>
        <w:spacing w:after="80" w:line="360"/>
        <w:ind w:left="320"/>
        <w:jc w:val="left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💡 </w:t>
      </w:r>
      <w:r>
        <w:rPr>
          <w:rFonts w:ascii="Times New Roman" w:eastAsia="宋体"/>
          <w:b/>
          <w:bCs/>
          <w:i w:val="false"/>
          <w:iCs w:val="false"/>
          <w:strike w:val="false"/>
          <w:color w:val="4D4D4D"/>
          <w:sz w:val="24"/>
          <w:szCs w:val="24"/>
        </w:rPr>
        <w:t xml:space="preserve">使用说明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：以下为文字版逻辑流程，可直接用于绘制 Visio / ProcessOn / Draw.io 流程图。</w:t>
      </w:r>
    </w:p>
    <w:p>
      <w:pPr>
        <w:pBdr>
          <w:left w:val="single" w:color="808080" w:sz="12" w:space="8"/>
        </w:pBdr>
        <w:spacing w:after="80" w:line="360"/>
        <w:ind w:left="320"/>
        <w:jc w:val="left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/>
      </w:r>
    </w:p>
    <w:p>
      <w:pPr>
        <w:pBdr>
          <w:left w:val="single" w:color="808080" w:sz="12" w:space="8"/>
        </w:pBdr>
        <w:spacing w:after="80" w:line="360"/>
        <w:ind w:left="320"/>
        <w:jc w:val="left"/>
      </w:pPr>
      <w:r>
        <w:rPr>
          <w:rFonts w:ascii="Times New Roman" w:eastAsia="宋体"/>
          <w:b/>
          <w:bCs/>
          <w:i w:val="false"/>
          <w:iCs w:val="false"/>
          <w:strike w:val="false"/>
          <w:color w:val="4D4D4D"/>
          <w:sz w:val="24"/>
          <w:szCs w:val="24"/>
        </w:rPr>
        <w:t xml:space="preserve">v1.1 修订说明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：本文档 v1.0 与《接口规范与数据字典》存在字段名冲突，已按"以接口规范为唯一标准"的原则修订。共 3 处变更：</w:t>
      </w:r>
    </w:p>
    <w:p>
      <w:pPr>
        <w:pBdr>
          <w:left w:val="single" w:color="808080" w:sz="12" w:space="8"/>
        </w:pBdr>
        <w:spacing w:after="80" w:line="360"/>
        <w:ind w:left="320"/>
        <w:jc w:val="left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1. 控制指令字段：</w:t>
      </w:r>
      <w:r>
        <w:rPr>
          <w:rFonts w:ascii="Consolas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device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 → </w:t>
      </w:r>
      <w:r>
        <w:rPr>
          <w:rFonts w:ascii="Consolas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device_id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，</w:t>
      </w:r>
      <w:r>
        <w:rPr>
          <w:rFonts w:ascii="Consolas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action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 → </w:t>
      </w:r>
      <w:r>
        <w:rPr>
          <w:rFonts w:ascii="Consolas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command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（全文）</w:t>
      </w:r>
    </w:p>
    <w:p>
      <w:pPr>
        <w:pBdr>
          <w:left w:val="single" w:color="808080" w:sz="12" w:space="8"/>
        </w:pBdr>
        <w:spacing w:after="80" w:line="360"/>
        <w:ind w:left="320"/>
        <w:jc w:val="left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2. 液位标签：</w:t>
      </w:r>
      <w:r>
        <w:rPr>
          <w:rFonts w:ascii="Consolas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tank_level_cm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 → </w:t>
      </w:r>
      <w:r>
        <w:rPr>
          <w:rFonts w:ascii="Consolas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tank_level</w:t>
      </w:r>
    </w:p>
    <w:p>
      <w:pPr>
        <w:pBdr>
          <w:left w:val="single" w:color="808080" w:sz="12" w:space="8"/>
        </w:pBdr>
        <w:spacing w:after="80" w:line="360"/>
        <w:ind w:left="320"/>
        <w:jc w:val="left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3. 报警阈值判定方：由</w:t>
      </w:r>
      <w:r>
        <w:rPr>
          <w:rFonts w:ascii="Times New Roman" w:eastAsia="宋体"/>
          <w:b/>
          <w:bCs/>
          <w:i w:val="false"/>
          <w:iCs w:val="false"/>
          <w:strike w:val="false"/>
          <w:color w:val="4D4D4D"/>
          <w:sz w:val="24"/>
          <w:szCs w:val="24"/>
        </w:rPr>
        <w:t xml:space="preserve">前端判定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改为</w:t>
      </w:r>
      <w:r>
        <w:rPr>
          <w:rFonts w:ascii="Times New Roman" w:eastAsia="宋体"/>
          <w:b/>
          <w:bCs/>
          <w:i w:val="false"/>
          <w:iCs w:val="false"/>
          <w:strike w:val="false"/>
          <w:color w:val="4D4D4D"/>
          <w:sz w:val="24"/>
          <w:szCs w:val="24"/>
        </w:rPr>
        <w:t xml:space="preserve">后端判定、前端只显示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（流程二）</w:t>
      </w:r>
    </w:p>
    <w:p>
      <w:pPr>
        <w:pBdr>
          <w:left w:val="single" w:color="808080" w:sz="12" w:space="8"/>
        </w:pBdr>
        <w:spacing w:after="80" w:line="360"/>
        <w:ind w:left="320"/>
        <w:jc w:val="left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/>
      </w:r>
    </w:p>
    <w:p>
      <w:pPr>
        <w:pBdr>
          <w:left w:val="single" w:color="808080" w:sz="12" w:space="8"/>
        </w:pBdr>
        <w:spacing w:after="80" w:line="360"/>
        <w:ind w:left="320"/>
        <w:jc w:val="left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变更理由见《接口规范与数据字典 v1.1》第九节变更清单。</w:t>
      </w:r>
    </w:p>
    <w:p>
      <w:pPr>
        <w:pBdr>
          <w:bottom w:val="single" w:color="000000" w:sz="6" w:space="1"/>
        </w:pBdr>
        <w:spacing w:after="160" w:before="160"/>
      </w:pPr>
    </w:p>
    <w:p>
      <w:pPr>
        <w:pStyle w:val="Heading1"/>
        <w:spacing w:after="200" w:before="360"/>
        <w:jc w:val="left"/>
      </w:pPr>
      <w:r>
        <w:rPr>
          <w:rFonts w:ascii="Times New Roman" w:eastAsia="黑体"/>
          <w:b/>
          <w:bCs/>
          <w:color w:val="000000"/>
          <w:sz w:val="32"/>
          <w:szCs w:val="32"/>
        </w:rPr>
        <w:t xml:space="preserve">一、三个流程的关系（先看全局）</w:t>
      </w:r>
    </w:p>
    <w:p>
      <w:pPr>
        <w:spacing w:before="80"/>
      </w:pP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2239"/>
        <w:gridCol w:w="1399"/>
        <w:gridCol w:w="3008"/>
        <w:gridCol w:w="2378"/>
      </w:tblGrid>
      <w:tr>
        <w:trPr>
          <w:cantSplit/>
          <w:tblHeader/>
        </w:trPr>
        <w:tc>
          <w:tcPr>
            <w:tcW w:type="dxa" w:w="2239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流程</w:t>
            </w:r>
          </w:p>
        </w:tc>
        <w:tc>
          <w:tcPr>
            <w:tcW w:type="dxa" w:w="1399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谁触发</w:t>
            </w:r>
          </w:p>
        </w:tc>
        <w:tc>
          <w:tcPr>
            <w:tcW w:type="dxa" w:w="3008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数据往哪个方向走</w:t>
            </w:r>
          </w:p>
        </w:tc>
        <w:tc>
          <w:tcPr>
            <w:tcW w:type="dxa" w:w="2378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对应 PRD 功能</w:t>
            </w:r>
          </w:p>
        </w:tc>
      </w:tr>
      <w:tr>
        <w:trPr>
          <w:cantSplit/>
        </w:trPr>
        <w:tc>
          <w:tcPr>
            <w:tcW w:type="dxa" w:w="22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流程一：远程手动启停水泵</w:t>
            </w:r>
          </w:p>
        </w:tc>
        <w:tc>
          <w:tcPr>
            <w:tcW w:type="dxa" w:w="139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用户点按钮</w:t>
            </w:r>
          </w:p>
        </w:tc>
        <w:tc>
          <w:tcPr>
            <w:tcW w:type="dxa" w:w="30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前端 → 后端 → 模拟器 →（再推回）前端</w:t>
            </w:r>
          </w:p>
        </w:tc>
        <w:tc>
          <w:tcPr>
            <w:tcW w:type="dxa" w:w="23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控制下控·单泵手动启停（P0）</w:t>
            </w:r>
          </w:p>
        </w:tc>
      </w:tr>
      <w:tr>
        <w:trPr>
          <w:cantSplit/>
        </w:trPr>
        <w:tc>
          <w:tcPr>
            <w:tcW w:type="dxa" w:w="22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流程二：低液位报警与联锁停泵</w:t>
            </w:r>
          </w:p>
        </w:tc>
        <w:tc>
          <w:tcPr>
            <w:tcW w:type="dxa" w:w="139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数据越限自动触发</w:t>
            </w:r>
          </w:p>
        </w:tc>
        <w:tc>
          <w:tcPr>
            <w:tcW w:type="dxa" w:w="30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模拟器 → 后端 → 前端</w:t>
            </w:r>
          </w:p>
        </w:tc>
        <w:tc>
          <w:tcPr>
            <w:tcW w:type="dxa" w:w="23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报警管理·阈值越限报警（P0）</w:t>
            </w:r>
          </w:p>
        </w:tc>
      </w:tr>
      <w:tr>
        <w:trPr>
          <w:cantSplit/>
        </w:trPr>
        <w:tc>
          <w:tcPr>
            <w:tcW w:type="dxa" w:w="2239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流程三：手自动模式切换</w:t>
            </w:r>
          </w:p>
        </w:tc>
        <w:tc>
          <w:tcPr>
            <w:tcW w:type="dxa" w:w="1399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用户点开关</w:t>
            </w:r>
          </w:p>
        </w:tc>
        <w:tc>
          <w:tcPr>
            <w:tcW w:type="dxa" w:w="3008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前端 → 后端 → 模拟器 →（再推回）前端</w:t>
            </w:r>
          </w:p>
        </w:tc>
        <w:tc>
          <w:tcPr>
            <w:tcW w:type="dxa" w:w="2378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系统设置·手自动模式切换（P1）</w:t>
            </w:r>
          </w:p>
        </w:tc>
      </w:tr>
    </w:tbl>
    <w:p>
      <w:pPr>
        <w:spacing w:after="120"/>
      </w:pPr>
    </w:p>
    <w:p>
      <w:pPr>
        <w:pBdr>
          <w:left w:val="single" w:color="808080" w:sz="12" w:space="8"/>
        </w:pBdr>
        <w:spacing w:after="80" w:line="360"/>
        <w:ind w:left="320"/>
        <w:jc w:val="left"/>
      </w:pPr>
      <w:r>
        <w:rPr>
          <w:rFonts w:ascii="Times New Roman" w:eastAsia="宋体"/>
          <w:b/>
          <w:bCs/>
          <w:i w:val="false"/>
          <w:iCs w:val="false"/>
          <w:strike w:val="false"/>
          <w:color w:val="4D4D4D"/>
          <w:sz w:val="24"/>
          <w:szCs w:val="24"/>
        </w:rPr>
        <w:t xml:space="preserve">一条贯穿全程的铁律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：无论哪个流程，</w:t>
      </w:r>
      <w:r>
        <w:rPr>
          <w:rFonts w:ascii="Times New Roman" w:eastAsia="宋体"/>
          <w:b/>
          <w:bCs/>
          <w:i w:val="false"/>
          <w:iCs w:val="false"/>
          <w:strike w:val="false"/>
          <w:color w:val="4D4D4D"/>
          <w:sz w:val="24"/>
          <w:szCs w:val="24"/>
        </w:rPr>
        <w:t xml:space="preserve">前端显示的设备状态永远以 WebSocket 推送回来的数据为准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，不以"指令下发成功"为准。原因：指令下发成功 ≠ 设备真的动作了（PLC 侧可能拒绝）。这条规则避免了"UI 显示运行中、实际水泵没转"的假象。</w:t>
      </w:r>
    </w:p>
    <w:p>
      <w:pPr>
        <w:pBdr>
          <w:bottom w:val="single" w:color="000000" w:sz="6" w:space="1"/>
        </w:pBdr>
        <w:spacing w:after="160" w:before="160"/>
      </w:pPr>
    </w:p>
    <w:p>
      <w:pPr>
        <w:pStyle w:val="Heading1"/>
        <w:spacing w:after="200" w:before="360"/>
        <w:jc w:val="left"/>
      </w:pPr>
      <w:r>
        <w:rPr>
          <w:rFonts w:ascii="Times New Roman" w:eastAsia="黑体"/>
          <w:b/>
          <w:bCs/>
          <w:color w:val="000000"/>
          <w:sz w:val="32"/>
          <w:szCs w:val="32"/>
        </w:rPr>
        <w:t xml:space="preserve">二、流程一：远程手动启停水泵（下控操作）</w:t>
      </w:r>
    </w:p>
    <w:p>
      <w:pPr>
        <w:pStyle w:val="Body"/>
        <w:jc w:val="both"/>
      </w:pP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参与方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：用户 → 前端 → 后端 → 协议解析 → 模拟器（PLC）</w:t>
      </w:r>
    </w:p>
    <w:p>
      <w:pPr>
        <w:spacing w:before="80"/>
      </w:pP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722"/>
        <w:gridCol w:w="722"/>
        <w:gridCol w:w="3610"/>
        <w:gridCol w:w="3610"/>
      </w:tblGrid>
      <w:tr>
        <w:trPr>
          <w:cantSplit/>
          <w:tblHeader/>
        </w:trPr>
        <w:tc>
          <w:tcPr>
            <w:tcW w:type="dxa" w:w="722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步骤</w:t>
            </w:r>
          </w:p>
        </w:tc>
        <w:tc>
          <w:tcPr>
            <w:tcW w:type="dxa" w:w="722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执行方</w:t>
            </w:r>
          </w:p>
        </w:tc>
        <w:tc>
          <w:tcPr>
            <w:tcW w:type="dxa" w:w="361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动作</w:t>
            </w:r>
          </w:p>
        </w:tc>
        <w:tc>
          <w:tcPr>
            <w:tcW w:type="dxa" w:w="361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失败时怎么办</w:t>
            </w:r>
          </w:p>
        </w:tc>
      </w:tr>
      <w:tr>
        <w:trPr>
          <w:cantSplit/>
        </w:trPr>
        <w:tc>
          <w:tcPr>
            <w:tcW w:type="dxa" w:w="7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type="dxa" w:w="7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用户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点击 UI 面板"1#泵 启动"按钮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7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type="dxa" w:w="7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前端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检查 </w:t>
            </w:r>
            <w:r>
              <w:rPr>
                <w:rFonts w:ascii="Consolas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sys_mode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：若为 1（自动模式），按钮应已置灰，流程不进入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若按钮未置灰却被点击，后端会返回错误码 1006</w:t>
            </w:r>
          </w:p>
        </w:tc>
      </w:tr>
      <w:tr>
        <w:trPr>
          <w:cantSplit/>
        </w:trPr>
        <w:tc>
          <w:tcPr>
            <w:tcW w:type="dxa" w:w="7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type="dxa" w:w="7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前端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弹出二次确认框"确认启动 1#泵？"；确认后按钮进入 Loading 禁用态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用户点取消 → 关闭弹窗，按钮恢复，流程终止</w:t>
            </w:r>
          </w:p>
        </w:tc>
      </w:tr>
      <w:tr>
        <w:trPr>
          <w:cantSplit/>
        </w:trPr>
        <w:tc>
          <w:tcPr>
            <w:tcW w:type="dxa" w:w="7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type="dxa" w:w="7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前端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Consolas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POST /api/v1/control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，Body：</w:t>
            </w:r>
            <w:r>
              <w:rPr>
                <w:rFonts w:ascii="Consolas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{"device_id":"pump_01","command":"start","operator":"&lt;当前操作人&gt;"}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7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type="dxa" w:w="7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后端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校验 </w:t>
            </w:r>
            <w:r>
              <w:rPr>
                <w:rFonts w:ascii="Consolas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device_id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、</w:t>
            </w:r>
            <w:r>
              <w:rPr>
                <w:rFonts w:ascii="Consolas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command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 合法性；校验当前模式是否允许手动操作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非法 → 返回错误码 1002 / 1003 / 1006，跳至步骤 11</w:t>
            </w:r>
          </w:p>
        </w:tc>
      </w:tr>
      <w:tr>
        <w:trPr>
          <w:cantSplit/>
        </w:trPr>
        <w:tc>
          <w:tcPr>
            <w:tcW w:type="dxa" w:w="7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type="dxa" w:w="7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后端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记录操作日志（操作人 + 时间戳）——PRD 1.3 安全性要求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日志写入失败不阻断主流程，但需记入后端错误日志</w:t>
            </w:r>
          </w:p>
        </w:tc>
      </w:tr>
      <w:tr>
        <w:trPr>
          <w:cantSplit/>
        </w:trPr>
        <w:tc>
          <w:tcPr>
            <w:tcW w:type="dxa" w:w="7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type="dxa" w:w="7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后端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经协议解析写 Modbus 线圈 </w:t>
            </w:r>
            <w:r>
              <w:rPr>
                <w:rFonts w:ascii="Consolas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00001 = 1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通信超时 → 返回错误码 1001，跳至步骤 11</w:t>
            </w:r>
          </w:p>
        </w:tc>
      </w:tr>
      <w:tr>
        <w:trPr>
          <w:cantSplit/>
        </w:trPr>
        <w:tc>
          <w:tcPr>
            <w:tcW w:type="dxa" w:w="7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type="dxa" w:w="7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模拟器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执行启动逻辑，更新保持寄存器 </w:t>
            </w:r>
            <w:r>
              <w:rPr>
                <w:rFonts w:ascii="Consolas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40003 = 1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（即 </w:t>
            </w:r>
            <w:r>
              <w:rPr>
                <w:rFonts w:ascii="Consolas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pump_01_status = 1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）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7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9</w:t>
            </w:r>
          </w:p>
        </w:tc>
        <w:tc>
          <w:tcPr>
            <w:tcW w:type="dxa" w:w="7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后端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返回 </w:t>
            </w:r>
            <w:r>
              <w:rPr>
                <w:rFonts w:ascii="Consolas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200 OK {"code":0,"msg":"success","timestamp":...}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7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10</w:t>
            </w:r>
          </w:p>
        </w:tc>
        <w:tc>
          <w:tcPr>
            <w:tcW w:type="dxa" w:w="7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前端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收到 code=0：按钮解除 Loading、恢复可用。</w:t>
            </w:r>
            <w:r>
              <w:rPr>
                <w:rFonts w:ascii="Times New Roman" w:eastAsia="宋体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此刻不改状态显示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，等待步骤 12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7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11</w:t>
            </w:r>
          </w:p>
        </w:tc>
        <w:tc>
          <w:tcPr>
            <w:tcW w:type="dxa" w:w="7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前端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（失败分支）收到非 0 错误码：按钮解除 Loading，按错误码表弹出对应中文提示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7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12</w:t>
            </w:r>
          </w:p>
        </w:tc>
        <w:tc>
          <w:tcPr>
            <w:tcW w:type="dxa" w:w="7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后端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下一个 500ms 周期，WebSocket 推送全量数据，其中 </w:t>
            </w:r>
            <w:r>
              <w:rPr>
                <w:rFonts w:ascii="Consolas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pump_01_status = 1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722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13</w:t>
            </w:r>
          </w:p>
        </w:tc>
        <w:tc>
          <w:tcPr>
            <w:tcW w:type="dxa" w:w="722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前端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依据推送数据：UI 状态变为"运行中(绿色)"；3D 节点 </w:t>
            </w:r>
            <w:r>
              <w:rPr>
                <w:rFonts w:ascii="Consolas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pump_01_motor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 开始旋转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—</w:t>
            </w:r>
          </w:p>
        </w:tc>
      </w:tr>
    </w:tbl>
    <w:p>
      <w:pPr>
        <w:spacing w:after="120"/>
      </w:pPr>
    </w:p>
    <w:p>
      <w:pPr>
        <w:pStyle w:val="Body"/>
        <w:jc w:val="both"/>
      </w:pP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停止流程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：与上完全相同，仅 </w:t>
      </w:r>
      <w:r>
        <w:rPr>
          <w:rFonts w:ascii="Consolas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command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 改为 </w:t>
      </w:r>
      <w:r>
        <w:rPr>
          <w:rFonts w:ascii="Consolas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"stop"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，写入线圈 </w:t>
      </w:r>
      <w:r>
        <w:rPr>
          <w:rFonts w:ascii="Consolas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00002 = 1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，最终 </w:t>
      </w:r>
      <w:r>
        <w:rPr>
          <w:rFonts w:ascii="Consolas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pump_01_status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 变为 0，3D 水泵停止旋转。</w:t>
      </w:r>
    </w:p>
    <w:p>
      <w:pPr>
        <w:pStyle w:val="Body"/>
        <w:jc w:val="both"/>
      </w:pP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耗时要求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（PRD 验收标准）：步骤 4 → 步骤 9（指令响应）须 </w:t>
      </w: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&lt; 1 秒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；步骤 8 → 步骤 13（状态同步）须 </w:t>
      </w: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&lt; 500ms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。</w:t>
      </w:r>
    </w:p>
    <w:p>
      <w:pPr>
        <w:pBdr>
          <w:bottom w:val="single" w:color="000000" w:sz="6" w:space="1"/>
        </w:pBdr>
        <w:spacing w:after="160" w:before="160"/>
      </w:pPr>
    </w:p>
    <w:p>
      <w:pPr>
        <w:pStyle w:val="Heading1"/>
        <w:spacing w:after="200" w:before="360"/>
        <w:jc w:val="left"/>
      </w:pPr>
      <w:r>
        <w:rPr>
          <w:rFonts w:ascii="Times New Roman" w:eastAsia="黑体"/>
          <w:b/>
          <w:bCs/>
          <w:color w:val="000000"/>
          <w:sz w:val="32"/>
          <w:szCs w:val="32"/>
        </w:rPr>
        <w:t xml:space="preserve">三、流程二：低液位自动报警与联锁停泵</w:t>
      </w:r>
    </w:p>
    <w:p>
      <w:pPr>
        <w:pStyle w:val="Body"/>
        <w:jc w:val="both"/>
      </w:pP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参与方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：模拟器 → 协议解析 → 后端 → 前端</w:t>
      </w:r>
    </w:p>
    <w:p>
      <w:pPr>
        <w:pBdr>
          <w:left w:val="single" w:color="808080" w:sz="12" w:space="8"/>
        </w:pBdr>
        <w:spacing w:after="80" w:line="360"/>
        <w:ind w:left="320"/>
        <w:jc w:val="left"/>
      </w:pPr>
      <w:r>
        <w:rPr>
          <w:rFonts w:ascii="Times New Roman" w:eastAsia="宋体"/>
          <w:b/>
          <w:bCs/>
          <w:i w:val="false"/>
          <w:iCs w:val="false"/>
          <w:strike w:val="false"/>
          <w:color w:val="4D4D4D"/>
          <w:sz w:val="24"/>
          <w:szCs w:val="24"/>
        </w:rPr>
        <w:t xml:space="preserve">⚠️ v1.1 关键修订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：v1.0 写的是"前端判断：比对阈值，确认触发低液位报警"。现改为</w:t>
      </w:r>
      <w:r>
        <w:rPr>
          <w:rFonts w:ascii="Times New Roman" w:eastAsia="宋体"/>
          <w:b/>
          <w:bCs/>
          <w:i w:val="false"/>
          <w:iCs w:val="false"/>
          <w:strike w:val="false"/>
          <w:color w:val="4D4D4D"/>
          <w:sz w:val="24"/>
          <w:szCs w:val="24"/>
        </w:rPr>
        <w:t xml:space="preserve">后端判定阈值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。理由：若前后端各算一套，会出现"后端已联锁停泵、前端还没报警"的状态不一致。统一由后端算、前端只负责呈现。</w:t>
      </w:r>
    </w:p>
    <w:p>
      <w:pPr>
        <w:spacing w:before="80"/>
      </w:pP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950"/>
        <w:gridCol w:w="1425"/>
        <w:gridCol w:w="3610"/>
      </w:tblGrid>
      <w:tr>
        <w:trPr>
          <w:cantSplit/>
          <w:tblHeader/>
        </w:trPr>
        <w:tc>
          <w:tcPr>
            <w:tcW w:type="dxa" w:w="95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步骤</w:t>
            </w:r>
          </w:p>
        </w:tc>
        <w:tc>
          <w:tcPr>
            <w:tcW w:type="dxa" w:w="1425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执行方</w:t>
            </w:r>
          </w:p>
        </w:tc>
        <w:tc>
          <w:tcPr>
            <w:tcW w:type="dxa" w:w="361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动作</w:t>
            </w:r>
          </w:p>
        </w:tc>
      </w:tr>
      <w:tr>
        <w:trPr>
          <w:cantSplit/>
        </w:trPr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type="dxa" w:w="14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模拟器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液位数据下降至 24cm（低于 25cm 阈值）</w:t>
            </w:r>
          </w:p>
        </w:tc>
      </w:tr>
      <w:tr>
        <w:trPr>
          <w:cantSplit/>
        </w:trPr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type="dxa" w:w="14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协议解析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每 200ms 采集一次，读到 </w:t>
            </w:r>
            <w:r>
              <w:rPr>
                <w:rFonts w:ascii="Consolas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tank_level = 24.0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，交给后端</w:t>
            </w:r>
          </w:p>
        </w:tc>
      </w:tr>
      <w:tr>
        <w:trPr>
          <w:cantSplit/>
        </w:trPr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type="dxa" w:w="14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后端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阈值判定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：</w:t>
            </w:r>
            <w:r>
              <w:rPr>
                <w:rFonts w:ascii="Consolas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tank_level &lt; 25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 成立 → 置 </w:t>
            </w:r>
            <w:r>
              <w:rPr>
                <w:rFonts w:ascii="Consolas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alarm_level_low = 1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，</w:t>
            </w:r>
            <w:r>
              <w:rPr>
                <w:rFonts w:ascii="Consolas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alarm_active + 1</w:t>
            </w:r>
          </w:p>
        </w:tc>
      </w:tr>
      <w:tr>
        <w:trPr>
          <w:cantSplit/>
        </w:trPr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type="dxa" w:w="14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后端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写入报警记录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：生成一条 </w:t>
            </w:r>
            <w:r>
              <w:rPr>
                <w:rFonts w:ascii="Consolas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type = level_low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、</w:t>
            </w:r>
            <w:r>
              <w:rPr>
                <w:rFonts w:ascii="Consolas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level = critical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、</w:t>
            </w:r>
            <w:r>
              <w:rPr>
                <w:rFonts w:ascii="Consolas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status = active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 的记录，含触发值 24.0 与阈值 25.0，存入数据库（供 </w:t>
            </w:r>
            <w:r>
              <w:rPr>
                <w:rFonts w:ascii="Consolas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/api/v1/alarms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 查询）</w:t>
            </w:r>
          </w:p>
        </w:tc>
      </w:tr>
      <w:tr>
        <w:trPr>
          <w:cantSplit/>
        </w:trPr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type="dxa" w:w="14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后端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联锁动作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：向模拟器写入停泵线圈，切断所有运行中的水泵（防止水泵空转烧毁）</w:t>
            </w:r>
          </w:p>
        </w:tc>
      </w:tr>
      <w:tr>
        <w:trPr>
          <w:cantSplit/>
        </w:trPr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type="dxa" w:w="14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后端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WebSocket 推送全量数据：</w:t>
            </w:r>
            <w:r>
              <w:rPr>
                <w:rFonts w:ascii="Consolas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tank_level = 24.0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、</w:t>
            </w:r>
            <w:r>
              <w:rPr>
                <w:rFonts w:ascii="Consolas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alarm_level_low = 1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、</w:t>
            </w:r>
            <w:r>
              <w:rPr>
                <w:rFonts w:ascii="Consolas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pump_01_status = 0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、</w:t>
            </w:r>
            <w:r>
              <w:rPr>
                <w:rFonts w:ascii="Consolas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pump_02_status = 0</w:t>
            </w:r>
          </w:p>
        </w:tc>
      </w:tr>
      <w:tr>
        <w:trPr>
          <w:cantSplit/>
        </w:trPr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type="dxa" w:w="14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前端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读到 </w:t>
            </w:r>
            <w:r>
              <w:rPr>
                <w:rFonts w:ascii="Consolas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alarm_level_low = 1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，执行三件事：① 右上角弹出红色 Toast"【警告】水箱液位过低(24.0cm)"；② 播放警报音；③ 3D 节点 </w:t>
            </w:r>
            <w:r>
              <w:rPr>
                <w:rFonts w:ascii="Consolas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tank_body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 材质变红闪烁</w:t>
            </w:r>
          </w:p>
        </w:tc>
      </w:tr>
      <w:tr>
        <w:trPr>
          <w:cantSplit/>
        </w:trPr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type="dxa" w:w="14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前端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读到 </w:t>
            </w:r>
            <w:r>
              <w:rPr>
                <w:rFonts w:ascii="Consolas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pump_0x_status = 0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，停止对应 3D 水泵旋转动画，UI 状态改为"已停止"</w:t>
            </w:r>
          </w:p>
        </w:tc>
      </w:tr>
      <w:tr>
        <w:trPr>
          <w:cantSplit/>
        </w:trPr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9</w:t>
            </w:r>
          </w:p>
        </w:tc>
        <w:tc>
          <w:tcPr>
            <w:tcW w:type="dxa" w:w="14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模拟器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液位回升（进水阀补水），</w:t>
            </w:r>
            <w:r>
              <w:rPr>
                <w:rFonts w:ascii="Consolas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tank_level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 逐渐上升</w:t>
            </w:r>
          </w:p>
        </w:tc>
      </w:tr>
      <w:tr>
        <w:trPr>
          <w:cantSplit/>
        </w:trPr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10</w:t>
            </w:r>
          </w:p>
        </w:tc>
        <w:tc>
          <w:tcPr>
            <w:tcW w:type="dxa" w:w="14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后端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判定 </w:t>
            </w:r>
            <w:r>
              <w:rPr>
                <w:rFonts w:ascii="Consolas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tank_level &gt; 30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（</w:t>
            </w:r>
            <w:r>
              <w:rPr>
                <w:rFonts w:ascii="Times New Roman" w:eastAsia="宋体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回升阈值高于触发阈值，形成防抖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）→ 置 </w:t>
            </w:r>
            <w:r>
              <w:rPr>
                <w:rFonts w:ascii="Consolas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alarm_level_low = 0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，将步骤 4 那条报警记录更新为 </w:t>
            </w:r>
            <w:r>
              <w:rPr>
                <w:rFonts w:ascii="Consolas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status = recovered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，填入 </w:t>
            </w:r>
            <w:r>
              <w:rPr>
                <w:rFonts w:ascii="Consolas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time_end</w:t>
            </w:r>
          </w:p>
        </w:tc>
      </w:tr>
      <w:tr>
        <w:trPr>
          <w:cantSplit/>
        </w:trPr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11</w:t>
            </w:r>
          </w:p>
        </w:tc>
        <w:tc>
          <w:tcPr>
            <w:tcW w:type="dxa" w:w="14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后端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若 </w:t>
            </w:r>
            <w:r>
              <w:rPr>
                <w:rFonts w:ascii="Consolas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sys_mode = 1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（自动模式），按自动逻辑重新启动主泵；若为手动模式，</w:t>
            </w:r>
            <w:r>
              <w:rPr>
                <w:rFonts w:ascii="Times New Roman" w:eastAsia="宋体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不自动启泵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，等待人工操作</w:t>
            </w:r>
          </w:p>
        </w:tc>
      </w:tr>
      <w:tr>
        <w:trPr>
          <w:cantSplit/>
        </w:trPr>
        <w:tc>
          <w:tcPr>
            <w:tcW w:type="dxa" w:w="95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12</w:t>
            </w:r>
          </w:p>
        </w:tc>
        <w:tc>
          <w:tcPr>
            <w:tcW w:type="dxa" w:w="1425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前端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读到 </w:t>
            </w:r>
            <w:r>
              <w:rPr>
                <w:rFonts w:ascii="Consolas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alarm_level_low = 0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：Toast 变为"已恢复"或自动消除、停止警报音、3D 恢复正常颜色</w:t>
            </w:r>
          </w:p>
        </w:tc>
      </w:tr>
    </w:tbl>
    <w:p>
      <w:pPr>
        <w:spacing w:after="120"/>
      </w:pPr>
    </w:p>
    <w:p>
      <w:pPr>
        <w:pStyle w:val="Body"/>
        <w:jc w:val="both"/>
      </w:pP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防抖设计说明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（验收清单 4.4 要求"液位在阈值附近波动时，水泵不发生频繁启停，30s 防抖"）：</w:t>
      </w:r>
    </w:p>
    <w:p>
      <w:pPr>
        <w:pStyle w:val="ListParagraph"/>
        <w:numPr>
          <w:ilvl w:val="0"/>
          <w:numId w:val="2"/>
        </w:numPr>
        <w:spacing w:after="60" w:line="360"/>
        <w:jc w:val="left"/>
      </w:pP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双阈值（回差）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：触发阈值 25cm，恢复阈值 30cm。液位在 25～30cm 之间波动时，报警状态不翻转。</w:t>
      </w:r>
    </w:p>
    <w:p>
      <w:pPr>
        <w:pStyle w:val="ListParagraph"/>
        <w:numPr>
          <w:ilvl w:val="0"/>
          <w:numId w:val="2"/>
        </w:numPr>
        <w:spacing w:after="60" w:line="360"/>
        <w:jc w:val="left"/>
      </w:pP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时间防抖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：即使液位跌破 25cm，也需</w:t>
      </w: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连续 30 秒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低于阈值才真正触发报警与联锁；瞬时尖峰（如传感器抖动）不触发。</w:t>
      </w:r>
    </w:p>
    <w:p>
      <w:pPr>
        <w:pStyle w:val="ListParagraph"/>
        <w:numPr>
          <w:ilvl w:val="0"/>
          <w:numId w:val="2"/>
        </w:numPr>
        <w:spacing w:after="60" w:line="360"/>
        <w:jc w:val="left"/>
      </w:pP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启泵间隔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：联锁停泵后，</w:t>
      </w: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30 秒内不接受任何启泵指令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（后端返回错误码 1008），防止频繁启停损坏电机。</w:t>
      </w:r>
    </w:p>
    <w:p>
      <w:pPr>
        <w:pBdr>
          <w:left w:val="single" w:color="808080" w:sz="12" w:space="8"/>
        </w:pBdr>
        <w:spacing w:after="80" w:line="360"/>
        <w:ind w:left="320"/>
        <w:jc w:val="left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这三重防抖均由</w:t>
      </w:r>
      <w:r>
        <w:rPr>
          <w:rFonts w:ascii="Times New Roman" w:eastAsia="宋体"/>
          <w:b/>
          <w:bCs/>
          <w:i w:val="false"/>
          <w:iCs w:val="false"/>
          <w:strike w:val="false"/>
          <w:color w:val="4D4D4D"/>
          <w:sz w:val="24"/>
          <w:szCs w:val="24"/>
        </w:rPr>
        <w:t xml:space="preserve">后端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实现，前端不参与判定。</w:t>
      </w:r>
    </w:p>
    <w:p>
      <w:pPr>
        <w:spacing w:after="60" w:before="120"/>
        <w:jc w:val="center"/>
      </w:pPr>
      <w:r>
        <w:rPr>
          <w:rFonts w:ascii="Times New Roman" w:eastAsia="宋体"/>
          <w:b/>
          <w:bCs/>
          <w:color w:val="4D4D4D"/>
          <w:sz w:val="24"/>
          <w:szCs w:val="24"/>
        </w:rPr>
        <w:t xml:space="preserve">超压报警（pipe_pressure &gt; 0.8MPa）的差异**：流程与上相同，但 **不联锁停泵**，只报警。理由见《接口规范与数据字典 v1.1》第十节待决策事项 #3（超压停泵会导致高层住户突然断水，真实运维中通常先报警由人工判断）。**此项仍需 PM 最终确认。</w:t>
      </w:r>
    </w:p>
    <w:p>
      <w:pPr>
        <w:pBdr>
          <w:bottom w:val="single" w:color="000000" w:sz="6" w:space="1"/>
        </w:pBdr>
        <w:spacing w:after="160" w:before="160"/>
      </w:pPr>
    </w:p>
    <w:p>
      <w:pPr>
        <w:pStyle w:val="Heading1"/>
        <w:spacing w:after="200" w:before="360"/>
        <w:jc w:val="left"/>
      </w:pPr>
      <w:r>
        <w:rPr>
          <w:rFonts w:ascii="Times New Roman" w:eastAsia="黑体"/>
          <w:b/>
          <w:bCs/>
          <w:color w:val="000000"/>
          <w:sz w:val="32"/>
          <w:szCs w:val="32"/>
        </w:rPr>
        <w:t xml:space="preserve">四、流程三：手自动模式切换</w:t>
      </w:r>
    </w:p>
    <w:p>
      <w:pPr>
        <w:pStyle w:val="Body"/>
        <w:jc w:val="both"/>
      </w:pP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参与方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：用户 → 前端 → 后端 → 模拟器</w:t>
      </w:r>
    </w:p>
    <w:p>
      <w:pPr>
        <w:spacing w:before="80"/>
      </w:pP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975"/>
        <w:gridCol w:w="1219"/>
        <w:gridCol w:w="3610"/>
      </w:tblGrid>
      <w:tr>
        <w:trPr>
          <w:cantSplit/>
          <w:tblHeader/>
        </w:trPr>
        <w:tc>
          <w:tcPr>
            <w:tcW w:type="dxa" w:w="975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步骤</w:t>
            </w:r>
          </w:p>
        </w:tc>
        <w:tc>
          <w:tcPr>
            <w:tcW w:type="dxa" w:w="1219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执行方</w:t>
            </w:r>
          </w:p>
        </w:tc>
        <w:tc>
          <w:tcPr>
            <w:tcW w:type="dxa" w:w="361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动作</w:t>
            </w:r>
          </w:p>
        </w:tc>
      </w:tr>
      <w:tr>
        <w:trPr>
          <w:cantSplit/>
        </w:trPr>
        <w:tc>
          <w:tcPr>
            <w:tcW w:type="dxa" w:w="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type="dxa" w:w="12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用户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点击顶部导航栏"自动模式"开关</w:t>
            </w:r>
          </w:p>
        </w:tc>
      </w:tr>
      <w:tr>
        <w:trPr>
          <w:cantSplit/>
        </w:trPr>
        <w:tc>
          <w:tcPr>
            <w:tcW w:type="dxa" w:w="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type="dxa" w:w="12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前端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弹出二次确认"确认切换为自动模式？切换后手动启停/调速将被屏蔽"（属下控操作，PRD 1.3 要求二次确认）</w:t>
            </w:r>
          </w:p>
        </w:tc>
      </w:tr>
      <w:tr>
        <w:trPr>
          <w:cantSplit/>
        </w:trPr>
        <w:tc>
          <w:tcPr>
            <w:tcW w:type="dxa" w:w="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type="dxa" w:w="12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前端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Consolas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POST /api/v1/control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，Body：</w:t>
            </w:r>
            <w:r>
              <w:rPr>
                <w:rFonts w:ascii="Consolas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{"device_id":"sys","command":"set_mode","value":1,"operator":"&lt;操作人&gt;"}</w:t>
            </w:r>
          </w:p>
        </w:tc>
      </w:tr>
      <w:tr>
        <w:trPr>
          <w:cantSplit/>
        </w:trPr>
        <w:tc>
          <w:tcPr>
            <w:tcW w:type="dxa" w:w="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type="dxa" w:w="12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后端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校验 value ∈ {0,1} → 经协议解析写入保持寄存器 </w:t>
            </w:r>
            <w:r>
              <w:rPr>
                <w:rFonts w:ascii="Consolas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40011 = 1</w:t>
            </w:r>
          </w:p>
        </w:tc>
      </w:tr>
      <w:tr>
        <w:trPr>
          <w:cantSplit/>
        </w:trPr>
        <w:tc>
          <w:tcPr>
            <w:tcW w:type="dxa" w:w="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type="dxa" w:w="12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模拟器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切换内部运行模式，返回成功</w:t>
            </w:r>
          </w:p>
        </w:tc>
      </w:tr>
      <w:tr>
        <w:trPr>
          <w:cantSplit/>
        </w:trPr>
        <w:tc>
          <w:tcPr>
            <w:tcW w:type="dxa" w:w="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type="dxa" w:w="12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后端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返回 </w:t>
            </w:r>
            <w:r>
              <w:rPr>
                <w:rFonts w:ascii="Consolas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200 OK {"code":0}</w:t>
            </w:r>
          </w:p>
        </w:tc>
      </w:tr>
      <w:tr>
        <w:trPr>
          <w:cantSplit/>
        </w:trPr>
        <w:tc>
          <w:tcPr>
            <w:tcW w:type="dxa" w:w="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type="dxa" w:w="12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后端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下一周期 WebSocket 推送 </w:t>
            </w:r>
            <w:r>
              <w:rPr>
                <w:rFonts w:ascii="Consolas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sys_mode = 1</w:t>
            </w:r>
          </w:p>
        </w:tc>
      </w:tr>
      <w:tr>
        <w:trPr>
          <w:cantSplit/>
        </w:trPr>
        <w:tc>
          <w:tcPr>
            <w:tcW w:type="dxa" w:w="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type="dxa" w:w="12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前端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依据推送回来的 </w:t>
            </w:r>
            <w:r>
              <w:rPr>
                <w:rFonts w:ascii="Consolas" w:eastAsia="宋体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sys_mode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（不是依据步骤 6 的成功响应）：所有手动启停/调速按钮置灰禁用；UI 显示"当前：自动模式"</w:t>
            </w:r>
          </w:p>
        </w:tc>
      </w:tr>
      <w:tr>
        <w:trPr>
          <w:cantSplit/>
        </w:trPr>
        <w:tc>
          <w:tcPr>
            <w:tcW w:type="dxa" w:w="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9</w:t>
            </w:r>
          </w:p>
        </w:tc>
        <w:tc>
          <w:tcPr>
            <w:tcW w:type="dxa" w:w="12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模拟器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自动模式下，按液位自动执行启停与轮换逻辑（如液位低时启动备用泵、两泵定期轮换以均衡磨损）</w:t>
            </w:r>
          </w:p>
        </w:tc>
      </w:tr>
      <w:tr>
        <w:trPr>
          <w:cantSplit/>
        </w:trPr>
        <w:tc>
          <w:tcPr>
            <w:tcW w:type="dxa" w:w="975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10</w:t>
            </w:r>
          </w:p>
        </w:tc>
        <w:tc>
          <w:tcPr>
            <w:tcW w:type="dxa" w:w="1219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前端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自动模式下仅做状态展示，不提供手动干预入口</w:t>
            </w:r>
          </w:p>
        </w:tc>
      </w:tr>
    </w:tbl>
    <w:p>
      <w:pPr>
        <w:spacing w:after="120"/>
      </w:pPr>
    </w:p>
    <w:p>
      <w:pPr>
        <w:pStyle w:val="Body"/>
        <w:jc w:val="both"/>
      </w:pP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切回手动模式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：</w:t>
      </w:r>
      <w:r>
        <w:rPr>
          <w:rFonts w:ascii="Consolas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value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 传 0，步骤同上。切回后手动按钮恢复可用，PLC 停止自动逻辑。</w:t>
      </w:r>
    </w:p>
    <w:p>
      <w:pPr>
        <w:pStyle w:val="Body"/>
        <w:jc w:val="both"/>
      </w:pP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互斥逻辑要求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（PRD 验收标准"模式切换即时生效，互斥逻辑正确"）：</w:t>
      </w:r>
    </w:p>
    <w:p>
      <w:pPr>
        <w:pStyle w:val="ListParagraph"/>
        <w:numPr>
          <w:ilvl w:val="0"/>
          <w:numId w:val="2"/>
        </w:numPr>
        <w:spacing w:after="60" w:line="360"/>
        <w:jc w:val="left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自动模式下收到手动指令 → 后端返回错误码 </w:t>
      </w: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1006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，前端提示"当前为自动模式，手动操作已被屏蔽"</w:t>
      </w:r>
    </w:p>
    <w:p>
      <w:pPr>
        <w:pStyle w:val="ListParagraph"/>
        <w:numPr>
          <w:ilvl w:val="0"/>
          <w:numId w:val="2"/>
        </w:numPr>
        <w:spacing w:after="60" w:line="360"/>
        <w:jc w:val="left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模式切换生效前已下发的指令 → 正常执行完毕，不中断</w:t>
      </w:r>
    </w:p>
    <w:p>
      <w:pPr>
        <w:pStyle w:val="ListParagraph"/>
        <w:numPr>
          <w:ilvl w:val="0"/>
          <w:numId w:val="2"/>
        </w:numPr>
        <w:spacing w:after="60" w:line="360"/>
        <w:jc w:val="left"/>
      </w:pP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双保险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：前端置灰按钮（用户体验层）+ 后端拒绝指令（安全层）。不能只靠前端置灰，因为绕过前端直接调接口仍能下发指令</w:t>
      </w:r>
    </w:p>
    <w:p>
      <w:pPr>
        <w:pBdr>
          <w:bottom w:val="single" w:color="000000" w:sz="6" w:space="1"/>
        </w:pBdr>
        <w:spacing w:after="160" w:before="160"/>
      </w:pPr>
    </w:p>
    <w:p>
      <w:pPr>
        <w:pStyle w:val="Heading1"/>
        <w:spacing w:after="200" w:before="360"/>
        <w:jc w:val="left"/>
      </w:pPr>
      <w:r>
        <w:rPr>
          <w:rFonts w:ascii="Times New Roman" w:eastAsia="黑体"/>
          <w:b/>
          <w:bCs/>
          <w:color w:val="000000"/>
          <w:sz w:val="32"/>
          <w:szCs w:val="32"/>
        </w:rPr>
        <w:t xml:space="preserve">五、异常与边界场景（补全）</w:t>
      </w:r>
    </w:p>
    <w:p>
      <w:pPr>
        <w:pBdr>
          <w:left w:val="single" w:color="808080" w:sz="12" w:space="8"/>
        </w:pBdr>
        <w:spacing w:after="80" w:line="360"/>
        <w:ind w:left="320"/>
        <w:jc w:val="left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4D4D4D"/>
          <w:sz w:val="24"/>
          <w:szCs w:val="24"/>
        </w:rPr>
        <w:t xml:space="preserve">v1.0 只画了正常路径（happy path）。验收清单 4.4 要求测试异常场景，故本节补全。</w:t>
      </w:r>
    </w:p>
    <w:p>
      <w:pPr>
        <w:spacing w:before="80"/>
      </w:pP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128"/>
        <w:gridCol w:w="2507"/>
        <w:gridCol w:w="3510"/>
        <w:gridCol w:w="1880"/>
      </w:tblGrid>
      <w:tr>
        <w:trPr>
          <w:cantSplit/>
          <w:tblHeader/>
        </w:trPr>
        <w:tc>
          <w:tcPr>
            <w:tcW w:type="dxa" w:w="1128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场景</w:t>
            </w:r>
          </w:p>
        </w:tc>
        <w:tc>
          <w:tcPr>
            <w:tcW w:type="dxa" w:w="2507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触发条件</w:t>
            </w:r>
          </w:p>
        </w:tc>
        <w:tc>
          <w:tcPr>
            <w:tcW w:type="dxa" w:w="351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系统行为</w:t>
            </w:r>
          </w:p>
        </w:tc>
        <w:tc>
          <w:tcPr>
            <w:tcW w:type="dxa" w:w="188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依据</w:t>
            </w:r>
          </w:p>
        </w:tc>
      </w:tr>
      <w:tr>
        <w:trPr>
          <w:cantSplit/>
        </w:trPr>
        <w:tc>
          <w:tcPr>
            <w:tcW w:type="dxa" w:w="1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WebSocket 断开</w:t>
            </w:r>
          </w:p>
        </w:tc>
        <w:tc>
          <w:tcPr>
            <w:tcW w:type="dxa" w:w="25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前端 15 秒内未收到任何消息（含心跳）</w:t>
            </w:r>
          </w:p>
        </w:tc>
        <w:tc>
          <w:tcPr>
            <w:tcW w:type="dxa" w:w="35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顶部红色横幅"⚠ 数据连接断开，正在重连…"；3D 模型保持最后状态；所有控制按钮置灰；每 3 秒自动重连</w:t>
            </w:r>
          </w:p>
        </w:tc>
        <w:tc>
          <w:tcPr>
            <w:tcW w:type="dxa" w:w="18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验收清单 4.2；接口规范 5.3</w:t>
            </w:r>
          </w:p>
        </w:tc>
      </w:tr>
      <w:tr>
        <w:trPr>
          <w:cantSplit/>
        </w:trPr>
        <w:tc>
          <w:tcPr>
            <w:tcW w:type="dxa" w:w="1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重连成功</w:t>
            </w:r>
          </w:p>
        </w:tc>
        <w:tc>
          <w:tcPr>
            <w:tcW w:type="dxa" w:w="25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前端重新连上后端</w:t>
            </w:r>
          </w:p>
        </w:tc>
        <w:tc>
          <w:tcPr>
            <w:tcW w:type="dxa" w:w="35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清除横幅、恢复按钮；后端首次推送必须为全量数据，确保状态一致</w:t>
            </w:r>
          </w:p>
        </w:tc>
        <w:tc>
          <w:tcPr>
            <w:tcW w:type="dxa" w:w="18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接口规范 5.3</w:t>
            </w:r>
          </w:p>
        </w:tc>
      </w:tr>
      <w:tr>
        <w:trPr>
          <w:cantSplit/>
        </w:trPr>
        <w:tc>
          <w:tcPr>
            <w:tcW w:type="dxa" w:w="1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模拟器未启动</w:t>
            </w:r>
          </w:p>
        </w:tc>
        <w:tc>
          <w:tcPr>
            <w:tcW w:type="dxa" w:w="25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后端连不上模拟器</w:t>
            </w:r>
          </w:p>
        </w:tc>
        <w:tc>
          <w:tcPr>
            <w:tcW w:type="dxa" w:w="35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Consolas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/api/v1/health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 返回 </w:t>
            </w:r>
            <w:r>
              <w:rPr>
                <w:rFonts w:ascii="Consolas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plc_connected: false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；所有控制指令返回错误码 2002；前端提示"数据服务未就绪"</w:t>
            </w:r>
          </w:p>
        </w:tc>
        <w:tc>
          <w:tcPr>
            <w:tcW w:type="dxa" w:w="18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接口规范 6.6、七</w:t>
            </w:r>
          </w:p>
        </w:tc>
      </w:tr>
      <w:tr>
        <w:trPr>
          <w:cantSplit/>
        </w:trPr>
        <w:tc>
          <w:tcPr>
            <w:tcW w:type="dxa" w:w="1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非法 device_id</w:t>
            </w:r>
          </w:p>
        </w:tc>
        <w:tc>
          <w:tcPr>
            <w:tcW w:type="dxa" w:w="25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请求传入 </w:t>
            </w:r>
            <w:r>
              <w:rPr>
                <w:rFonts w:ascii="Consolas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pump_03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 等不存在的设备</w:t>
            </w:r>
          </w:p>
        </w:tc>
        <w:tc>
          <w:tcPr>
            <w:tcW w:type="dxa" w:w="35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后端返回错误码 1002，</w:t>
            </w:r>
            <w:r>
              <w:rPr>
                <w:rFonts w:ascii="Times New Roman" w:eastAsia="宋体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不得崩溃</w:t>
            </w:r>
          </w:p>
        </w:tc>
        <w:tc>
          <w:tcPr>
            <w:tcW w:type="dxa" w:w="18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验收清单 4.4</w:t>
            </w:r>
          </w:p>
        </w:tc>
      </w:tr>
      <w:tr>
        <w:trPr>
          <w:cantSplit/>
        </w:trPr>
        <w:tc>
          <w:tcPr>
            <w:tcW w:type="dxa" w:w="1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非法 command</w:t>
            </w:r>
          </w:p>
        </w:tc>
        <w:tc>
          <w:tcPr>
            <w:tcW w:type="dxa" w:w="25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请求传入 </w:t>
            </w:r>
            <w:r>
              <w:rPr>
                <w:rFonts w:ascii="Consolas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restart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 等未定义指令</w:t>
            </w:r>
          </w:p>
        </w:tc>
        <w:tc>
          <w:tcPr>
            <w:tcW w:type="dxa" w:w="35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后端返回错误码 1003</w:t>
            </w:r>
          </w:p>
        </w:tc>
        <w:tc>
          <w:tcPr>
            <w:tcW w:type="dxa" w:w="18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验收清单 4.4</w:t>
            </w:r>
          </w:p>
        </w:tc>
      </w:tr>
      <w:tr>
        <w:trPr>
          <w:cantSplit/>
        </w:trPr>
        <w:tc>
          <w:tcPr>
            <w:tcW w:type="dxa" w:w="1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value 越界</w:t>
            </w:r>
          </w:p>
        </w:tc>
        <w:tc>
          <w:tcPr>
            <w:tcW w:type="dxa" w:w="25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Consolas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set_freq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 传入 60（超过 50Hz 上限）</w:t>
            </w:r>
          </w:p>
        </w:tc>
        <w:tc>
          <w:tcPr>
            <w:tcW w:type="dxa" w:w="35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后端返回错误码 1004，前端提示数值超出范围</w:t>
            </w:r>
          </w:p>
        </w:tc>
        <w:tc>
          <w:tcPr>
            <w:tcW w:type="dxa" w:w="18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接口规范 七</w:t>
            </w:r>
          </w:p>
        </w:tc>
      </w:tr>
      <w:tr>
        <w:trPr>
          <w:cantSplit/>
        </w:trPr>
        <w:tc>
          <w:tcPr>
            <w:tcW w:type="dxa" w:w="1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缺少必填字段</w:t>
            </w:r>
          </w:p>
        </w:tc>
        <w:tc>
          <w:tcPr>
            <w:tcW w:type="dxa" w:w="25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未传 </w:t>
            </w:r>
            <w:r>
              <w:rPr>
                <w:rFonts w:ascii="Consolas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device_id</w:t>
            </w:r>
          </w:p>
        </w:tc>
        <w:tc>
          <w:tcPr>
            <w:tcW w:type="dxa" w:w="35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后端返回错误码 1005</w:t>
            </w:r>
          </w:p>
        </w:tc>
        <w:tc>
          <w:tcPr>
            <w:tcW w:type="dxa" w:w="18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接口规范 七</w:t>
            </w:r>
          </w:p>
        </w:tc>
      </w:tr>
      <w:tr>
        <w:trPr>
          <w:cantSplit/>
        </w:trPr>
        <w:tc>
          <w:tcPr>
            <w:tcW w:type="dxa" w:w="1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频繁下发指令</w:t>
            </w:r>
          </w:p>
        </w:tc>
        <w:tc>
          <w:tcPr>
            <w:tcW w:type="dxa" w:w="25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同一设备 2 秒内重复下发</w:t>
            </w:r>
          </w:p>
        </w:tc>
        <w:tc>
          <w:tcPr>
            <w:tcW w:type="dxa" w:w="35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后端返回错误码 1008；前端按钮 Loading 期间本就禁用，属双保险</w:t>
            </w:r>
          </w:p>
        </w:tc>
        <w:tc>
          <w:tcPr>
            <w:tcW w:type="dxa" w:w="18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PRD"有 Loading 防抖"</w:t>
            </w:r>
          </w:p>
        </w:tc>
      </w:tr>
      <w:tr>
        <w:trPr>
          <w:cantSplit/>
        </w:trPr>
        <w:tc>
          <w:tcPr>
            <w:tcW w:type="dxa" w:w="1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水泵故障状态</w:t>
            </w:r>
          </w:p>
        </w:tc>
        <w:tc>
          <w:tcPr>
            <w:tcW w:type="dxa" w:w="25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Consolas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pump_0x_status = 2</w:t>
            </w:r>
          </w:p>
        </w:tc>
        <w:tc>
          <w:tcPr>
            <w:tcW w:type="dxa" w:w="35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该泵 3D 模型红色闪烁；对其下发 </w:t>
            </w:r>
            <w:r>
              <w:rPr>
                <w:rFonts w:ascii="Consolas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start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 返回错误码 1007；UI 显示"故障"</w:t>
            </w:r>
          </w:p>
        </w:tc>
        <w:tc>
          <w:tcPr>
            <w:tcW w:type="dxa" w:w="18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接口规范 七</w:t>
            </w:r>
          </w:p>
        </w:tc>
      </w:tr>
      <w:tr>
        <w:trPr>
          <w:cantSplit/>
        </w:trPr>
        <w:tc>
          <w:tcPr>
            <w:tcW w:type="dxa" w:w="1128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通信中断报警</w:t>
            </w:r>
          </w:p>
        </w:tc>
        <w:tc>
          <w:tcPr>
            <w:tcW w:type="dxa" w:w="2507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后端连续 5 秒读不到模拟器数据</w:t>
            </w:r>
          </w:p>
        </w:tc>
        <w:tc>
          <w:tcPr>
            <w:tcW w:type="dxa" w:w="351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生成 </w:t>
            </w:r>
            <w:r>
              <w:rPr>
                <w:rFonts w:ascii="Consolas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type = comm_lost</w:t>
            </w: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 报警记录；前端提示数据连接异常</w:t>
            </w:r>
          </w:p>
        </w:tc>
        <w:tc>
          <w:tcPr>
            <w:tcW w:type="dxa" w:w="188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接口规范 6.5</w:t>
            </w:r>
          </w:p>
        </w:tc>
      </w:tr>
    </w:tbl>
    <w:p>
      <w:pPr>
        <w:spacing w:after="120"/>
      </w:pPr>
    </w:p>
    <w:p>
      <w:pPr>
        <w:pBdr>
          <w:bottom w:val="single" w:color="000000" w:sz="6" w:space="1"/>
        </w:pBdr>
        <w:spacing w:after="160" w:before="160"/>
      </w:pPr>
    </w:p>
    <w:p>
      <w:pPr>
        <w:pStyle w:val="Heading1"/>
        <w:spacing w:after="200" w:before="360"/>
        <w:jc w:val="left"/>
      </w:pPr>
      <w:r>
        <w:rPr>
          <w:rFonts w:ascii="Times New Roman" w:eastAsia="黑体"/>
          <w:b/>
          <w:bCs/>
          <w:color w:val="000000"/>
          <w:sz w:val="32"/>
          <w:szCs w:val="32"/>
        </w:rPr>
        <w:t xml:space="preserve">六、绘图建议（给做 Visio / Draw.io 的人）</w:t>
      </w:r>
    </w:p>
    <w:p>
      <w:pPr>
        <w:pStyle w:val="ListParagraph"/>
        <w:numPr>
          <w:ilvl w:val="0"/>
          <w:numId w:val="2"/>
        </w:numPr>
        <w:spacing w:after="60" w:line="360"/>
        <w:jc w:val="left"/>
      </w:pP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泳道图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最合適：五条泳道分别是「用户 / 前端 / 后端 / 协议解析 / 模拟器」，能一眼看出每个动作由谁执行、数据往哪流。</w:t>
      </w:r>
    </w:p>
    <w:p>
      <w:pPr>
        <w:pStyle w:val="ListParagraph"/>
        <w:numPr>
          <w:ilvl w:val="0"/>
          <w:numId w:val="2"/>
        </w:numPr>
        <w:spacing w:after="60" w:line="360"/>
        <w:jc w:val="left"/>
      </w:pP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三个流程各画一张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，不要挤在一张图里。</w:t>
      </w:r>
    </w:p>
    <w:p>
      <w:pPr>
        <w:pStyle w:val="ListParagraph"/>
        <w:numPr>
          <w:ilvl w:val="0"/>
          <w:numId w:val="2"/>
        </w:numPr>
        <w:spacing w:after="60" w:line="360"/>
        <w:jc w:val="left"/>
      </w:pP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异常分支用红色虚线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，正常路径用实线，便于评审时聚焦。</w:t>
      </w:r>
    </w:p>
    <w:p>
      <w:pPr>
        <w:pStyle w:val="ListParagraph"/>
        <w:numPr>
          <w:ilvl w:val="0"/>
          <w:numId w:val="2"/>
        </w:numPr>
        <w:spacing w:after="60" w:line="360"/>
        <w:jc w:val="left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每个流程标注</w:t>
      </w: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24"/>
          <w:szCs w:val="24"/>
        </w:rPr>
        <w:t xml:space="preserve">耗时要求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（如"步骤 4→9 须 &lt; 1s"），这是验收时的判定依据。</w:t>
      </w:r>
    </w:p>
    <w:p>
      <w:pPr>
        <w:pStyle w:val="ListParagraph"/>
        <w:numPr>
          <w:ilvl w:val="0"/>
          <w:numId w:val="2"/>
        </w:numPr>
        <w:spacing w:after="60" w:line="360"/>
        <w:jc w:val="left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导出 PNG 后插入 Word，同时在文档里保留文字版（便于检索和版本对比）。</w:t>
      </w:r>
    </w:p>
    <w:p>
      <w:pPr>
        <w:pBdr>
          <w:bottom w:val="single" w:color="000000" w:sz="6" w:space="1"/>
        </w:pBdr>
        <w:spacing w:after="160" w:before="160"/>
      </w:pPr>
    </w:p>
    <w:p>
      <w:pPr>
        <w:pStyle w:val="Heading1"/>
        <w:spacing w:after="200" w:before="360"/>
        <w:jc w:val="left"/>
      </w:pPr>
      <w:r>
        <w:rPr>
          <w:rFonts w:ascii="Times New Roman" w:eastAsia="黑体"/>
          <w:b/>
          <w:bCs/>
          <w:color w:val="000000"/>
          <w:sz w:val="32"/>
          <w:szCs w:val="32"/>
        </w:rPr>
        <w:t xml:space="preserve">七、版本记录</w:t>
      </w:r>
    </w:p>
    <w:p>
      <w:pPr>
        <w:spacing w:before="80"/>
      </w:pP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820"/>
        <w:gridCol w:w="1435"/>
        <w:gridCol w:w="1025"/>
        <w:gridCol w:w="3610"/>
      </w:tblGrid>
      <w:tr>
        <w:trPr>
          <w:cantSplit/>
          <w:tblHeader/>
        </w:trPr>
        <w:tc>
          <w:tcPr>
            <w:tcW w:type="dxa" w:w="82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版本</w:t>
            </w:r>
          </w:p>
        </w:tc>
        <w:tc>
          <w:tcPr>
            <w:tcW w:type="dxa" w:w="1435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日期</w:t>
            </w:r>
          </w:p>
        </w:tc>
        <w:tc>
          <w:tcPr>
            <w:tcW w:type="dxa" w:w="1025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修改人</w:t>
            </w:r>
          </w:p>
        </w:tc>
        <w:tc>
          <w:tcPr>
            <w:tcW w:type="dxa" w:w="361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修改内容</w:t>
            </w:r>
          </w:p>
        </w:tc>
      </w:tr>
      <w:tr>
        <w:trPr>
          <w:cantSplit/>
        </w:trPr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v1.0</w:t>
            </w:r>
          </w:p>
        </w:tc>
        <w:tc>
          <w:tcPr>
            <w:tcW w:type="dxa" w:w="14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2026-09-15</w:t>
            </w:r>
          </w:p>
        </w:tc>
        <w:tc>
          <w:tcPr>
            <w:tcW w:type="dxa" w:w="10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PM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初始版本：三个核心流程的正常路径</w:t>
            </w:r>
          </w:p>
        </w:tc>
      </w:tr>
      <w:tr>
        <w:trPr>
          <w:cantSplit/>
        </w:trPr>
        <w:tc>
          <w:tcPr>
            <w:tcW w:type="dxa" w:w="82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v1.1</w:t>
            </w:r>
          </w:p>
        </w:tc>
        <w:tc>
          <w:tcPr>
            <w:tcW w:type="dxa" w:w="1435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2026-09-23</w:t>
            </w:r>
          </w:p>
        </w:tc>
        <w:tc>
          <w:tcPr>
            <w:tcW w:type="dxa" w:w="1025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PM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统一字段名（device_id/command、tank_level）；报警判定方由前端改为后端；补全防抖设计；新增第五节异常与边界场景；补充绘图建议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t xml:space="preserve">第 </w:t>
    </w: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8"/>
        <w:szCs w:val="18"/>
      </w:rPr>
      <w:t xml:space="preserve"> 页，共 </w:t>
    </w:r>
    <w:r>
      <w:rPr>
        <w:color w:val="808080"/>
        <w:sz w:val="18"/>
        <w:szCs w:val="18"/>
      </w:rPr>
      <w:fldChar w:fldCharType="begin"/>
      <w:instrText xml:space="preserve">NUMPAGES</w:instrText>
      <w:fldChar w:fldCharType="separate"/>
      <w:fldChar w:fldCharType="end"/>
    </w:r>
    <w:r>
      <w:rPr>
        <w:color w:val="808080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eastAsia="宋体"/>
        <w:color w:val="808080"/>
        <w:sz w:val="18"/>
        <w:szCs w:val="18"/>
      </w:rPr>
      <w:t xml:space="preserve">核心交互流程图_v1.1.md 02.核心交互流程图_v1.1.docx 核心交互流程图[2]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◦"/>
      <w:lvlJc w:val="left"/>
      <w:pPr>
        <w:ind w:left="840" w:hanging="240"/>
      </w:pPr>
    </w:lvl>
    <w:lvl w:ilvl="2" w15:tentative="1">
      <w:start w:val="1"/>
      <w:numFmt w:val="bullet"/>
      <w:lvlText w:val="▪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  <w:lvl w:ilvl="1" w15:tentative="1">
      <w:start w:val="1"/>
      <w:numFmt w:val="decimal"/>
      <w:lvlText w:val="%2."/>
      <w:lvlJc w:val="left"/>
      <w:pPr>
        <w:ind w:left="840" w:hanging="300"/>
      </w:pPr>
    </w:lvl>
    <w:lvl w:ilvl="2" w15:tentative="1">
      <w:start w:val="1"/>
      <w:numFmt w:val="decimal"/>
      <w:lvlText w:val="%3."/>
      <w:lvlJc w:val="left"/>
      <w:pPr>
        <w:ind w:left="12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/>
        <w:color w:val="000000"/>
        <w:sz w:val="24"/>
        <w:szCs w:val="24"/>
      </w:rPr>
    </w:rPrDefault>
    <w:pPrDefault>
      <w:pPr>
        <w:jc w:val="left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 w:before="240"/>
      <w:jc w:val="center"/>
    </w:pPr>
    <w:rPr>
      <w:rFonts w:ascii="Times New Roman" w:eastAsia="黑体"/>
      <w:b/>
      <w:bCs/>
      <w:color w:val="000000"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200" w:before="360"/>
      <w:jc w:val="left"/>
      <w:outlineLvl w:val="0"/>
    </w:pPr>
    <w:rPr>
      <w:rFonts w:ascii="Times New Roman" w:eastAsia="黑体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80"/>
      <w:jc w:val="left"/>
      <w:outlineLvl w:val="1"/>
    </w:pPr>
    <w:rPr>
      <w:rFonts w:ascii="Times New Roman" w:eastAsia="黑体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  <w:jc w:val="left"/>
      <w:outlineLvl w:val="2"/>
    </w:pPr>
    <w:rPr>
      <w:rFonts w:ascii="Times New Roman" w:eastAsia="黑体"/>
      <w:b/>
      <w:bCs/>
      <w:color w:val="000000"/>
      <w:sz w:val="24"/>
      <w:szCs w:val="24"/>
    </w:rPr>
  </w:style>
  <w:style w:type="paragraph" w:styleId="Body">
    <w:name w:val="Body"/>
    <w:basedOn w:val="Normal"/>
    <w:pPr>
      <w:spacing w:after="120" w:line="360"/>
      <w:ind w:firstLine="480"/>
      <w:jc w:val="both"/>
    </w:pPr>
    <w:rPr>
      <w:rFonts w:ascii="Times New Roman" w:eastAsia="宋体"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2026-09-23T14:12:52.404Z</dcterms:created>
  <dcterms:modified xsi:type="dcterms:W3CDTF">2026-09-23T14:12:52.404Z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