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FA4E" w14:textId="77777777" w:rsidR="000A4470" w:rsidRDefault="000A4470">
      <w:r>
        <w:t>Actividad 3</w:t>
      </w:r>
    </w:p>
    <w:p w14:paraId="4143E32F" w14:textId="41B27F35" w:rsidR="00546E70" w:rsidRDefault="000A4470">
      <w:r w:rsidRPr="000A4470">
        <w:t>Uso de &lt;</w:t>
      </w:r>
      <w:proofErr w:type="spellStart"/>
      <w:r w:rsidRPr="000A4470">
        <w:t>div</w:t>
      </w:r>
      <w:proofErr w:type="spellEnd"/>
      <w:r w:rsidRPr="000A4470">
        <w:t xml:space="preserve"> role="</w:t>
      </w:r>
      <w:proofErr w:type="spellStart"/>
      <w:r w:rsidRPr="000A4470">
        <w:t>button</w:t>
      </w:r>
      <w:proofErr w:type="spellEnd"/>
      <w:r w:rsidRPr="000A4470">
        <w:t>"&gt; en lugar de &lt;</w:t>
      </w:r>
      <w:proofErr w:type="spellStart"/>
      <w:r w:rsidRPr="000A4470">
        <w:t>button</w:t>
      </w:r>
      <w:proofErr w:type="spellEnd"/>
      <w:r w:rsidRPr="000A4470">
        <w:t>&gt;</w:t>
      </w:r>
    </w:p>
    <w:p w14:paraId="118AA1F9" w14:textId="21190E5E" w:rsidR="000A4470" w:rsidRDefault="000A4470">
      <w:r>
        <w:t>Los lectores de pantalla pueden reconocerlo como botón, pero o tiene automáticamente todas las funciones del teclado.</w:t>
      </w:r>
    </w:p>
    <w:p w14:paraId="5B5EB2CE" w14:textId="77777777" w:rsidR="000A4470" w:rsidRDefault="000A4470"/>
    <w:p w14:paraId="3B53C968" w14:textId="77777777" w:rsidR="000A4470" w:rsidRPr="000A4470" w:rsidRDefault="000A4470" w:rsidP="000A4470">
      <w:pPr>
        <w:rPr>
          <w:b/>
          <w:bCs/>
        </w:rPr>
      </w:pPr>
      <w:r w:rsidRPr="000A4470">
        <w:rPr>
          <w:b/>
          <w:bCs/>
        </w:rPr>
        <w:t>Texto alternativo redundante en la imagen</w:t>
      </w:r>
    </w:p>
    <w:p w14:paraId="6DF0E370" w14:textId="4C6D1BC8" w:rsidR="000A4470" w:rsidRDefault="000A4470">
      <w:r w:rsidRPr="000A4470">
        <w:t>El lector de pantalla puede anunciar tanto el aria-</w:t>
      </w:r>
      <w:proofErr w:type="spellStart"/>
      <w:r w:rsidRPr="000A4470">
        <w:t>label</w:t>
      </w:r>
      <w:proofErr w:type="spellEnd"/>
      <w:r w:rsidRPr="000A4470">
        <w:t>="</w:t>
      </w:r>
      <w:proofErr w:type="spellStart"/>
      <w:r w:rsidRPr="000A4470">
        <w:t>Menu</w:t>
      </w:r>
      <w:proofErr w:type="spellEnd"/>
      <w:r w:rsidRPr="000A4470">
        <w:t xml:space="preserve">" como el </w:t>
      </w:r>
      <w:proofErr w:type="spellStart"/>
      <w:r w:rsidRPr="000A4470">
        <w:t>alt</w:t>
      </w:r>
      <w:proofErr w:type="spellEnd"/>
      <w:r w:rsidRPr="000A4470">
        <w:t>="</w:t>
      </w:r>
      <w:proofErr w:type="spellStart"/>
      <w:r w:rsidRPr="000A4470">
        <w:t>Menu</w:t>
      </w:r>
      <w:proofErr w:type="spellEnd"/>
      <w:r w:rsidRPr="000A4470">
        <w:t xml:space="preserve"> principal", generando información duplicada</w:t>
      </w:r>
      <w:r>
        <w:t>.</w:t>
      </w:r>
    </w:p>
    <w:p w14:paraId="06E3C8CA" w14:textId="77777777" w:rsidR="000A4470" w:rsidRDefault="000A4470"/>
    <w:p w14:paraId="25A40EE6" w14:textId="009D2087" w:rsidR="000A4470" w:rsidRDefault="000A4470">
      <w:r w:rsidRPr="000A4470">
        <w:t>aria-</w:t>
      </w:r>
      <w:proofErr w:type="spellStart"/>
      <w:r w:rsidRPr="000A4470">
        <w:t>labelledby</w:t>
      </w:r>
      <w:proofErr w:type="spellEnd"/>
      <w:r w:rsidRPr="000A4470">
        <w:t xml:space="preserve"> apunta a un elemento oculto</w:t>
      </w:r>
    </w:p>
    <w:p w14:paraId="6F3B314E" w14:textId="38B0C1F6" w:rsidR="000A4470" w:rsidRDefault="000A4470">
      <w:r w:rsidRPr="000A4470">
        <w:t>Si el encabezado está oculto con aria-</w:t>
      </w:r>
      <w:proofErr w:type="spellStart"/>
      <w:r w:rsidRPr="000A4470">
        <w:t>hidden</w:t>
      </w:r>
      <w:proofErr w:type="spellEnd"/>
      <w:r w:rsidRPr="000A4470">
        <w:t>="true", algunos lectores de pantalla no podrán usarlo para etiquetar la navegación.</w:t>
      </w:r>
    </w:p>
    <w:p w14:paraId="2FEA7A3F" w14:textId="77777777" w:rsidR="000A4470" w:rsidRDefault="000A4470"/>
    <w:p w14:paraId="7F5000EF" w14:textId="303CBBBF" w:rsidR="000A4470" w:rsidRDefault="000A4470">
      <w:r w:rsidRPr="000A4470">
        <w:t>Uso innecesario de role="</w:t>
      </w:r>
      <w:proofErr w:type="spellStart"/>
      <w:r w:rsidRPr="000A4470">
        <w:t>navigation</w:t>
      </w:r>
      <w:proofErr w:type="spellEnd"/>
      <w:r w:rsidRPr="000A4470">
        <w:t>"</w:t>
      </w:r>
      <w:r>
        <w:t>}</w:t>
      </w:r>
    </w:p>
    <w:p w14:paraId="5C1987E5" w14:textId="121FE98D" w:rsidR="000A4470" w:rsidRDefault="000A4470">
      <w:r w:rsidRPr="000A4470">
        <w:t>La etiqueta &lt;</w:t>
      </w:r>
      <w:proofErr w:type="spellStart"/>
      <w:r w:rsidRPr="000A4470">
        <w:t>nav</w:t>
      </w:r>
      <w:proofErr w:type="spellEnd"/>
      <w:r w:rsidRPr="000A4470">
        <w:t>&gt; ya posee semántica de navegación. El rol es redundante.</w:t>
      </w:r>
    </w:p>
    <w:p w14:paraId="2F241065" w14:textId="77777777" w:rsidR="000A4470" w:rsidRDefault="000A4470" w:rsidP="000A4470">
      <w:pPr>
        <w:rPr>
          <w:b/>
          <w:bCs/>
        </w:rPr>
      </w:pPr>
    </w:p>
    <w:p w14:paraId="13931438" w14:textId="4711D7A3" w:rsidR="000A4470" w:rsidRDefault="000A4470" w:rsidP="000A4470">
      <w:pPr>
        <w:rPr>
          <w:b/>
          <w:bCs/>
        </w:rPr>
      </w:pPr>
      <w:r w:rsidRPr="000A4470">
        <w:rPr>
          <w:b/>
          <w:bCs/>
        </w:rPr>
        <w:t>aria-</w:t>
      </w:r>
      <w:proofErr w:type="spellStart"/>
      <w:r w:rsidRPr="000A4470">
        <w:rPr>
          <w:b/>
          <w:bCs/>
        </w:rPr>
        <w:t>live</w:t>
      </w:r>
      <w:proofErr w:type="spellEnd"/>
      <w:r w:rsidRPr="000A4470">
        <w:rPr>
          <w:b/>
          <w:bCs/>
        </w:rPr>
        <w:t>="</w:t>
      </w:r>
      <w:proofErr w:type="spellStart"/>
      <w:r w:rsidRPr="000A4470">
        <w:rPr>
          <w:b/>
          <w:bCs/>
        </w:rPr>
        <w:t>assertive</w:t>
      </w:r>
      <w:proofErr w:type="spellEnd"/>
      <w:r w:rsidRPr="000A4470">
        <w:rPr>
          <w:b/>
          <w:bCs/>
        </w:rPr>
        <w:t>" para un mensaje estático</w:t>
      </w:r>
      <w:r w:rsidR="00553456">
        <w:rPr>
          <w:b/>
          <w:bCs/>
        </w:rPr>
        <w:t xml:space="preserve"> </w:t>
      </w:r>
      <w:r w:rsidRPr="000A4470">
        <w:rPr>
          <w:b/>
          <w:bCs/>
        </w:rPr>
        <w:t>Impacto en AT</w:t>
      </w:r>
    </w:p>
    <w:p w14:paraId="72AEE2D2" w14:textId="77777777" w:rsidR="000A4470" w:rsidRPr="000A4470" w:rsidRDefault="000A4470" w:rsidP="000A4470">
      <w:r w:rsidRPr="000A4470">
        <w:t>Los lectores de pantalla pueden interrumpir lo que están leyendo para anunciar inmediatamente el mensaje, aunque no sea una alerta importante.</w:t>
      </w:r>
    </w:p>
    <w:p w14:paraId="2CA0E86D" w14:textId="77777777" w:rsidR="000A4470" w:rsidRPr="000A4470" w:rsidRDefault="000A4470" w:rsidP="000A4470"/>
    <w:p w14:paraId="5E520648" w14:textId="77777777" w:rsidR="000A4470" w:rsidRDefault="000A4470"/>
    <w:sectPr w:rsidR="000A4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70"/>
    <w:rsid w:val="000A4470"/>
    <w:rsid w:val="001F1FEA"/>
    <w:rsid w:val="004A1723"/>
    <w:rsid w:val="00546E70"/>
    <w:rsid w:val="0055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02EE"/>
  <w15:chartTrackingRefBased/>
  <w15:docId w15:val="{1414575F-F93F-4CB4-8664-3085BC7E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4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4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4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4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2026-06-03T16:59:00Z</dcterms:created>
  <dcterms:modified xsi:type="dcterms:W3CDTF">2026-06-03T17:10:00Z</dcterms:modified>
</cp:coreProperties>
</file>