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CUN00 – Iniciar sesión (visión de negocio)</w:t>
      </w:r>
    </w:p>
    <w:p>
      <w:pPr>
        <w:pStyle w:val="Heading2"/>
      </w:pPr>
      <w:r>
        <w:t>Dimensiones de clasificación: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
              <w:rPr>
                <w:b/>
                <w:sz w:val="20"/>
              </w:rPr>
              <w:t>Nivel</w:t>
            </w:r>
          </w:p>
        </w:tc>
        <w:tc>
          <w:tcPr>
            <w:tcW w:type="dxa" w:w="1568"/>
          </w:tcPr>
          <w:p>
            <w:r/>
            <w:r>
              <w:rPr>
                <w:b/>
                <w:sz w:val="20"/>
              </w:rPr>
              <w:t>Estructura</w:t>
            </w:r>
          </w:p>
        </w:tc>
        <w:tc>
          <w:tcPr>
            <w:tcW w:type="dxa" w:w="1568"/>
          </w:tcPr>
          <w:p>
            <w:r/>
            <w:r>
              <w:rPr>
                <w:b/>
                <w:sz w:val="20"/>
              </w:rPr>
              <w:t>Alcance</w:t>
            </w:r>
          </w:p>
        </w:tc>
        <w:tc>
          <w:tcPr>
            <w:tcW w:type="dxa" w:w="1568"/>
          </w:tcPr>
          <w:p>
            <w:r/>
            <w:r>
              <w:rPr>
                <w:b/>
                <w:sz w:val="20"/>
              </w:rPr>
              <w:t>Caja</w:t>
            </w:r>
          </w:p>
        </w:tc>
        <w:tc>
          <w:tcPr>
            <w:tcW w:type="dxa" w:w="1568"/>
          </w:tcPr>
          <w:p>
            <w:r/>
            <w:r>
              <w:rPr>
                <w:b/>
                <w:sz w:val="20"/>
              </w:rPr>
              <w:t>Instanciación</w:t>
            </w:r>
          </w:p>
        </w:tc>
        <w:tc>
          <w:tcPr>
            <w:tcW w:type="dxa" w:w="1568"/>
          </w:tcPr>
          <w:p>
            <w:r/>
            <w:r>
              <w:rPr>
                <w:b/>
                <w:sz w:val="20"/>
              </w:rPr>
              <w:t>Interacción</w:t>
            </w:r>
          </w:p>
        </w:tc>
      </w:tr>
      <w:tr>
        <w:tc>
          <w:tcPr>
            <w:tcW w:type="dxa" w:w="1568"/>
          </w:tcPr>
          <w:p>
            <w:r/>
            <w:r>
              <w:rPr>
                <w:sz w:val="20"/>
              </w:rPr>
              <w:t>Usuario</w:t>
            </w:r>
          </w:p>
        </w:tc>
        <w:tc>
          <w:tcPr>
            <w:tcW w:type="dxa" w:w="1568"/>
          </w:tcPr>
          <w:p>
            <w:r/>
            <w:r>
              <w:rPr>
                <w:sz w:val="20"/>
              </w:rPr>
              <w:t>Sin estructura</w:t>
            </w:r>
          </w:p>
        </w:tc>
        <w:tc>
          <w:tcPr>
            <w:tcW w:type="dxa" w:w="1568"/>
          </w:tcPr>
          <w:p>
            <w:r/>
            <w:r>
              <w:rPr>
                <w:sz w:val="20"/>
              </w:rPr>
              <w:t>Negocio</w:t>
            </w:r>
          </w:p>
        </w:tc>
        <w:tc>
          <w:tcPr>
            <w:tcW w:type="dxa" w:w="1568"/>
          </w:tcPr>
          <w:p>
            <w:r/>
            <w:r>
              <w:rPr>
                <w:sz w:val="20"/>
              </w:rPr>
              <w:t>Negra</w:t>
            </w:r>
          </w:p>
        </w:tc>
        <w:tc>
          <w:tcPr>
            <w:tcW w:type="dxa" w:w="1568"/>
          </w:tcPr>
          <w:p>
            <w:r/>
            <w:r>
              <w:rPr>
                <w:sz w:val="20"/>
              </w:rPr>
              <w:t>Real</w:t>
            </w:r>
          </w:p>
        </w:tc>
        <w:tc>
          <w:tcPr>
            <w:tcW w:type="dxa" w:w="1568"/>
          </w:tcPr>
          <w:p>
            <w:r/>
            <w:r>
              <w:rPr>
                <w:sz w:val="20"/>
              </w:rPr>
              <w:t>Semántico</w:t>
            </w:r>
          </w:p>
        </w:tc>
      </w:tr>
    </w:tbl>
    <w:p>
      <w:pPr>
        <w:pStyle w:val="Heading2"/>
      </w:pPr>
      <w:r>
        <w:t>Meta del caso de uso:</w:t>
      </w:r>
    </w:p>
    <w:p>
      <w:r>
        <w:t>Permitir que una persona previamente registrada acceda a las funcionalidades de SysSalud que le corresponden según su rol, de forma segura y diferenciada.</w:t>
      </w:r>
    </w:p>
    <w:p>
      <w:pPr>
        <w:pStyle w:val="Heading2"/>
      </w:pPr>
      <w:r>
        <w:t>Actor Primario:</w:t>
      </w:r>
    </w:p>
    <w:p>
      <w:r>
        <w:t>Cualquier usuario del centro que necesite operar el sistema (Paciente, Asistente Administrativo, Profesional Médico o Dueño del Centro).</w:t>
      </w:r>
    </w:p>
    <w:p>
      <w:pPr>
        <w:pStyle w:val="Heading2"/>
      </w:pPr>
      <w:r>
        <w:t>Roles del negocio (RN01):</w:t>
      </w:r>
    </w:p>
    <w:p>
      <w:r>
        <w:t>SysSalud reconoce cuatro roles, cada uno con una necesidad de negocio distinta detrás del login. El login es el mismo punto de entrada para los cuatro roles (no hay pantallas separadas por tipo de usuario): es el sistema, una vez autenticado, el que habilita las funciones correspondientes a ese perfil.</w:t>
      </w:r>
    </w:p>
    <w:tbl>
      <w:tblPr>
        <w:tblStyle w:val="TableGrid"/>
        <w:tblW w:type="auto" w:w="0"/>
        <w:jc w:val="center"/>
        <w:tblLook w:firstColumn="1" w:firstRow="1" w:lastColumn="0" w:lastRow="0" w:noHBand="0" w:noVBand="1" w:val="04A0"/>
      </w:tblPr>
      <w:tblGrid>
        <w:gridCol w:w="4703"/>
        <w:gridCol w:w="4703"/>
      </w:tblGrid>
      <w:tr>
        <w:tc>
          <w:tcPr>
            <w:tcW w:type="dxa" w:w="4703"/>
          </w:tcPr>
          <w:p>
            <w:r/>
            <w:r>
              <w:rPr>
                <w:b/>
                <w:sz w:val="20"/>
              </w:rPr>
              <w:t>Rol</w:t>
            </w:r>
          </w:p>
        </w:tc>
        <w:tc>
          <w:tcPr>
            <w:tcW w:type="dxa" w:w="4703"/>
          </w:tcPr>
          <w:p>
            <w:r/>
            <w:r>
              <w:rPr>
                <w:b/>
                <w:sz w:val="20"/>
              </w:rPr>
              <w:t>Por qué necesita loguearse</w:t>
            </w:r>
          </w:p>
        </w:tc>
      </w:tr>
      <w:tr>
        <w:tc>
          <w:tcPr>
            <w:tcW w:type="dxa" w:w="4703"/>
          </w:tcPr>
          <w:p>
            <w:r/>
            <w:r>
              <w:rPr>
                <w:sz w:val="20"/>
              </w:rPr>
              <w:t>Paciente (PAC)</w:t>
            </w:r>
          </w:p>
        </w:tc>
        <w:tc>
          <w:tcPr>
            <w:tcW w:type="dxa" w:w="4703"/>
          </w:tcPr>
          <w:p>
            <w:r/>
            <w:r>
              <w:rPr>
                <w:sz w:val="20"/>
              </w:rPr>
              <w:t>Autogestionar sus propios turnos (solicitar, cancelar, reprogramar) y ver sus datos.</w:t>
            </w:r>
          </w:p>
        </w:tc>
      </w:tr>
      <w:tr>
        <w:tc>
          <w:tcPr>
            <w:tcW w:type="dxa" w:w="4703"/>
          </w:tcPr>
          <w:p>
            <w:r/>
            <w:r>
              <w:rPr>
                <w:sz w:val="20"/>
              </w:rPr>
              <w:t>Asistente administrativo (ADM)</w:t>
            </w:r>
          </w:p>
        </w:tc>
        <w:tc>
          <w:tcPr>
            <w:tcW w:type="dxa" w:w="4703"/>
          </w:tcPr>
          <w:p>
            <w:r/>
            <w:r>
              <w:rPr>
                <w:sz w:val="20"/>
              </w:rPr>
              <w:t>Gestionar turnos y pacientes en nombre del centro, mantener el catálogo de servicios.</w:t>
            </w:r>
          </w:p>
        </w:tc>
      </w:tr>
      <w:tr>
        <w:tc>
          <w:tcPr>
            <w:tcW w:type="dxa" w:w="4703"/>
          </w:tcPr>
          <w:p>
            <w:r/>
            <w:r>
              <w:rPr>
                <w:sz w:val="20"/>
              </w:rPr>
              <w:t>Profesional médico (PROF)</w:t>
            </w:r>
          </w:p>
        </w:tc>
        <w:tc>
          <w:tcPr>
            <w:tcW w:type="dxa" w:w="4703"/>
          </w:tcPr>
          <w:p>
            <w:r/>
            <w:r>
              <w:rPr>
                <w:sz w:val="20"/>
              </w:rPr>
              <w:t>Consultar su agenda y acceder a la historia clínica de sus pacientes (RN10: dato exclusivo del profesional).</w:t>
            </w:r>
          </w:p>
        </w:tc>
      </w:tr>
      <w:tr>
        <w:tc>
          <w:tcPr>
            <w:tcW w:type="dxa" w:w="4703"/>
          </w:tcPr>
          <w:p>
            <w:r/>
            <w:r>
              <w:rPr>
                <w:sz w:val="20"/>
              </w:rPr>
              <w:t>Dueño del centro (DUE)</w:t>
            </w:r>
          </w:p>
        </w:tc>
        <w:tc>
          <w:tcPr>
            <w:tcW w:type="dxa" w:w="4703"/>
          </w:tcPr>
          <w:p>
            <w:r/>
            <w:r>
              <w:rPr>
                <w:sz w:val="20"/>
              </w:rPr>
              <w:t>Consultar métricas e informes globales del negocio (RN14).</w:t>
            </w:r>
          </w:p>
        </w:tc>
      </w:tr>
    </w:tbl>
    <w:p>
      <w:pPr>
        <w:pStyle w:val="Heading2"/>
      </w:pPr>
      <w:r>
        <w:t>Precondiciones (de negocio):</w:t>
      </w:r>
    </w:p>
    <w:p>
      <w:pPr>
        <w:pStyle w:val="ListBullet"/>
      </w:pPr>
      <w:r>
        <w:t>El usuario debe estar previamente registrado en el centro (RN04).</w:t>
      </w:r>
    </w:p>
    <w:p>
      <w:pPr>
        <w:pStyle w:val="ListBullet"/>
      </w:pPr>
      <w:r>
        <w:t>El paciente, si es su primer contacto con el centro, debe pasar primero por el registro (CUU01) antes de poder loguearse; no puede “loguearse para registrarse”.</w:t>
      </w:r>
    </w:p>
    <w:p>
      <w:pPr>
        <w:pStyle w:val="ListBullet"/>
      </w:pPr>
      <w:r>
        <w:t>Los roles ADM, PROF y DUE se dan de alta administrativamente (no hay autorregistro para ellos, a diferencia del paciente).</w:t>
      </w:r>
    </w:p>
    <w:p>
      <w:pPr>
        <w:pStyle w:val="Heading2"/>
      </w:pPr>
      <w:r>
        <w:t>Disparador:</w:t>
      </w:r>
    </w:p>
    <w:p>
      <w:r>
        <w:t>Un usuario necesita operar sobre el sistema (pedir un turno, atender pacientes, consultar el negocio, etc.).</w:t>
      </w:r>
    </w:p>
    <w:p>
      <w:pPr>
        <w:pStyle w:val="Heading2"/>
      </w:pPr>
      <w:r>
        <w:t>Camino básico (de negocio):</w:t>
      </w:r>
    </w:p>
    <w:p>
      <w:pPr>
        <w:pStyle w:val="ListNumber"/>
      </w:pPr>
      <w:r>
        <w:t>El usuario se presenta ante el sistema con sus credenciales de acceso.</w:t>
      </w:r>
    </w:p>
    <w:p>
      <w:pPr>
        <w:pStyle w:val="ListNumber"/>
      </w:pPr>
      <w:r>
        <w:t>El negocio valida su identidad.</w:t>
      </w:r>
    </w:p>
    <w:p>
      <w:pPr>
        <w:pStyle w:val="ListNumber"/>
      </w:pPr>
      <w:r>
        <w:t>El sistema reconoce el rol del usuario y le habilita únicamente las funciones de negocio que le corresponden.</w:t>
      </w:r>
    </w:p>
    <w:p>
      <w:pPr>
        <w:pStyle w:val="Heading2"/>
      </w:pPr>
      <w:r>
        <w:t>Caminos alternativos:</w:t>
      </w:r>
    </w:p>
    <w:p>
      <w:pPr>
        <w:pStyle w:val="ListBullet"/>
      </w:pPr>
      <w:r>
        <w:t>El usuario ingresa credenciales inválidas → el negocio no reconoce su identidad y no se habilita ninguna función. No se revela si el error es de usuario o de contraseña (por seguridad).</w:t>
      </w:r>
    </w:p>
    <w:p>
      <w:pPr>
        <w:pStyle w:val="ListBullet"/>
      </w:pPr>
      <w:r>
        <w:t>El usuario no está registrado → no puede loguearse; debe iniciar el proceso de registro (CUU01) si su rol es Paciente.</w:t>
      </w:r>
    </w:p>
    <w:p>
      <w:pPr>
        <w:pStyle w:val="Heading2"/>
      </w:pPr>
      <w:r>
        <w:t>Postcondiciones (de negocio):</w:t>
      </w:r>
    </w:p>
    <w:p>
      <w:r>
        <w:rPr>
          <w:b/>
        </w:rPr>
        <w:t xml:space="preserve">Éxito: </w:t>
      </w:r>
      <w:r>
        <w:t>el usuario queda habilitado para operar dentro de los límites de su rol.</w:t>
      </w:r>
    </w:p>
    <w:p>
      <w:r>
        <w:rPr>
          <w:b/>
        </w:rPr>
        <w:t xml:space="preserve">Fracaso: </w:t>
      </w:r>
      <w:r>
        <w:t>el usuario no logra identificarse y no accede a ninguna funcionalidad del centro.</w:t>
      </w:r>
    </w:p>
    <w:p>
      <w:pPr>
        <w:pStyle w:val="Heading2"/>
      </w:pPr>
      <w:r>
        <w:t>Reglas de negocio asociadas:</w:t>
      </w:r>
    </w:p>
    <w:p>
      <w:pPr>
        <w:pStyle w:val="ListBullet"/>
      </w:pPr>
      <w:r>
        <w:rPr>
          <w:b/>
        </w:rPr>
        <w:t xml:space="preserve">RN01: </w:t>
      </w:r>
      <w:r>
        <w:t>Los roles posibles son Paciente, Asistente Administrativo, Profesional Médico y Dueño del Centro.</w:t>
      </w:r>
    </w:p>
    <w:p>
      <w:pPr>
        <w:pStyle w:val="ListBullet"/>
      </w:pPr>
      <w:r>
        <w:rPr>
          <w:b/>
        </w:rPr>
        <w:t xml:space="preserve">RN04: </w:t>
      </w:r>
      <w:r>
        <w:t>Solo usuarios previamente registrados pueden acceder al sistema.</w:t>
      </w:r>
    </w:p>
    <w:p>
      <w:pPr>
        <w:pStyle w:val="ListBullet"/>
      </w:pPr>
      <w:r>
        <w:rPr>
          <w:b/>
        </w:rPr>
        <w:t xml:space="preserve">RN05: </w:t>
      </w:r>
      <w:r>
        <w:t>Toda sesión requiere credenciales válidas obligatorias — no hay acceso anónimo ni invitado.</w:t>
      </w:r>
    </w:p>
    <w:p>
      <w:pPr>
        <w:pStyle w:val="ListBullet"/>
      </w:pPr>
      <w:r>
        <w:rPr>
          <w:b/>
        </w:rPr>
        <w:t xml:space="preserve">RN10 / RN14 / RN15 (derivadas): </w:t>
      </w:r>
      <w:r>
        <w:t>El rol determina qué ve cada usuario una vez logueado (historia clínica solo PROF, métricas globales solo DUE, métricas propias solo cada PROF).</w:t>
      </w:r>
    </w:p>
    <w:p>
      <w:pPr>
        <w:pStyle w:val="Heading2"/>
      </w:pPr>
      <w:r>
        <w:t>Historia de Versiones: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b/>
                <w:sz w:val="20"/>
              </w:rPr>
              <w:t>Fecha</w:t>
            </w:r>
          </w:p>
        </w:tc>
        <w:tc>
          <w:tcPr>
            <w:tcW w:type="dxa" w:w="2351"/>
          </w:tcPr>
          <w:p>
            <w:r/>
            <w:r>
              <w:rPr>
                <w:b/>
                <w:sz w:val="20"/>
              </w:rPr>
              <w:t>Versión</w:t>
            </w:r>
          </w:p>
        </w:tc>
        <w:tc>
          <w:tcPr>
            <w:tcW w:type="dxa" w:w="2351"/>
          </w:tcPr>
          <w:p>
            <w:r/>
            <w:r>
              <w:rPr>
                <w:b/>
                <w:sz w:val="20"/>
              </w:rPr>
              <w:t>Autor</w:t>
            </w:r>
          </w:p>
        </w:tc>
        <w:tc>
          <w:tcPr>
            <w:tcW w:type="dxa" w:w="2351"/>
          </w:tcPr>
          <w:p>
            <w:r/>
            <w:r>
              <w:rPr>
                <w:b/>
                <w:sz w:val="20"/>
              </w:rPr>
              <w:t>Descripción</w:t>
            </w:r>
          </w:p>
        </w:tc>
      </w:tr>
      <w:tr>
        <w:tc>
          <w:tcPr>
            <w:tcW w:type="dxa" w:w="2351"/>
          </w:tcPr>
          <w:p>
            <w:r/>
            <w:r>
              <w:rPr>
                <w:sz w:val="20"/>
              </w:rPr>
              <w:t>24/08/2026</w:t>
            </w:r>
          </w:p>
        </w:tc>
        <w:tc>
          <w:tcPr>
            <w:tcW w:type="dxa" w:w="2351"/>
          </w:tcPr>
          <w:p>
            <w:r/>
            <w:r>
              <w:rPr>
                <w:sz w:val="20"/>
              </w:rPr>
              <w:t>1.00</w:t>
            </w:r>
          </w:p>
        </w:tc>
        <w:tc>
          <w:tcPr>
            <w:tcW w:type="dxa" w:w="2351"/>
          </w:tcPr>
          <w:p>
            <w:r/>
            <w:r>
              <w:rPr>
                <w:sz w:val="20"/>
              </w:rPr>
              <w:t>Fiele</w:t>
            </w:r>
          </w:p>
        </w:tc>
        <w:tc>
          <w:tcPr>
            <w:tcW w:type="dxa" w:w="2351"/>
          </w:tcPr>
          <w:p>
            <w:r/>
            <w:r>
              <w:rPr>
                <w:sz w:val="20"/>
              </w:rPr>
              <w:t>Versión inicial</w:t>
            </w:r>
          </w:p>
        </w:tc>
      </w:tr>
    </w:tbl>
    <w:sectPr w:rsidR="00FC693F" w:rsidRPr="0006063C" w:rsidSect="00034616">
      <w:headerReference w:type="default" r:id="rId9"/>
      <w:footerReference w:type="default" r:id="rId10"/>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1 /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Pr>
        <w:p>
          <w:r>
            <w:rPr>
              <w:b/>
              <w:sz w:val="18"/>
            </w:rPr>
            <w:t>ART CUN - Caso de Uso de Negocio - SysSalud</w:t>
          </w:r>
        </w:p>
        <w:p>
          <w:r>
            <w:rPr>
              <w:sz w:val="18"/>
            </w:rPr>
            <w:t>Autor: Fiele</w:t>
          </w:r>
        </w:p>
      </w:tc>
      <w:tc>
        <w:tcPr>
          <w:tcW w:type="dxa" w:w="4819"/>
        </w:tcPr>
        <w:p>
          <w:pPr>
            <w:jc w:val="right"/>
          </w:pPr>
          <w:r>
            <w:rPr>
              <w:sz w:val="18"/>
            </w:rPr>
            <w:t>Versión: 1.00 [&lt;24/08/2026&gt;]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