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FA86" w14:textId="77777777" w:rsidR="004169D5" w:rsidRDefault="00C30B9F">
      <w:pPr>
        <w:shd w:val="clear" w:color="auto" w:fill="F0EDE8"/>
        <w:spacing w:after="80"/>
      </w:pPr>
      <w:r>
        <w:rPr>
          <w:rFonts w:ascii="Arial" w:eastAsia="Arial" w:hAnsi="Arial" w:cs="Arial"/>
          <w:b/>
          <w:bCs/>
          <w:color w:val="1A3A2A"/>
          <w:sz w:val="52"/>
          <w:szCs w:val="52"/>
        </w:rPr>
        <w:t xml:space="preserve">Gasket </w:t>
      </w:r>
      <w:proofErr w:type="gramStart"/>
      <w:r>
        <w:rPr>
          <w:rFonts w:ascii="Arial" w:eastAsia="Arial" w:hAnsi="Arial" w:cs="Arial"/>
          <w:b/>
          <w:bCs/>
          <w:color w:val="1A3A2A"/>
          <w:sz w:val="52"/>
          <w:szCs w:val="52"/>
        </w:rPr>
        <w:t>Moss  —</w:t>
      </w:r>
      <w:proofErr w:type="gramEnd"/>
      <w:r>
        <w:rPr>
          <w:rFonts w:ascii="Arial" w:eastAsia="Arial" w:hAnsi="Arial" w:cs="Arial"/>
          <w:b/>
          <w:bCs/>
          <w:color w:val="1A3A2A"/>
          <w:sz w:val="52"/>
          <w:szCs w:val="52"/>
        </w:rPr>
        <w:t xml:space="preserve">  “Seal” Cultivar</w:t>
      </w:r>
    </w:p>
    <w:p w14:paraId="3AA8D75F" w14:textId="77777777" w:rsidR="004169D5" w:rsidRDefault="00C30B9F">
      <w:pPr>
        <w:spacing w:after="60"/>
      </w:pPr>
      <w:proofErr w:type="spellStart"/>
      <w:r>
        <w:rPr>
          <w:rFonts w:ascii="Arial" w:eastAsia="Arial" w:hAnsi="Arial" w:cs="Arial"/>
          <w:i/>
          <w:iCs/>
          <w:color w:val="1A7A40"/>
          <w:sz w:val="26"/>
          <w:szCs w:val="26"/>
        </w:rPr>
        <w:t>Leucobryum</w:t>
      </w:r>
      <w:proofErr w:type="spellEnd"/>
      <w:r>
        <w:rPr>
          <w:rFonts w:ascii="Arial" w:eastAsia="Arial" w:hAnsi="Arial" w:cs="Arial"/>
          <w:i/>
          <w:iCs/>
          <w:color w:val="1A7A40"/>
          <w:sz w:val="26"/>
          <w:szCs w:val="26"/>
        </w:rPr>
        <w:t xml:space="preserve"> glaucum (</w:t>
      </w:r>
      <w:proofErr w:type="gramStart"/>
      <w:r>
        <w:rPr>
          <w:rFonts w:ascii="Arial" w:eastAsia="Arial" w:hAnsi="Arial" w:cs="Arial"/>
          <w:i/>
          <w:iCs/>
          <w:color w:val="1A7A40"/>
          <w:sz w:val="26"/>
          <w:szCs w:val="26"/>
        </w:rPr>
        <w:t>engineered)  ·</w:t>
      </w:r>
      <w:proofErr w:type="gramEnd"/>
      <w:r>
        <w:rPr>
          <w:rFonts w:ascii="Arial" w:eastAsia="Arial" w:hAnsi="Arial" w:cs="Arial"/>
          <w:i/>
          <w:iCs/>
          <w:color w:val="1A7A40"/>
          <w:sz w:val="26"/>
          <w:szCs w:val="26"/>
        </w:rPr>
        <w:t xml:space="preserve">  CRISPR/Cas9 via protoplast transformation</w:t>
      </w:r>
    </w:p>
    <w:p w14:paraId="7A5B388A" w14:textId="77777777" w:rsidR="004169D5" w:rsidRDefault="00C30B9F">
      <w:pPr>
        <w:spacing w:after="240"/>
      </w:pPr>
      <w:proofErr w:type="spellStart"/>
      <w:r>
        <w:rPr>
          <w:rFonts w:ascii="Arial" w:eastAsia="Arial" w:hAnsi="Arial" w:cs="Arial"/>
          <w:color w:val="888888"/>
        </w:rPr>
        <w:t>BioStellar</w:t>
      </w:r>
      <w:proofErr w:type="spellEnd"/>
      <w:r>
        <w:rPr>
          <w:rFonts w:ascii="Arial" w:eastAsia="Arial" w:hAnsi="Arial" w:cs="Arial"/>
          <w:color w:val="888888"/>
        </w:rPr>
        <w:t xml:space="preserve"> </w:t>
      </w:r>
      <w:proofErr w:type="gramStart"/>
      <w:r>
        <w:rPr>
          <w:rFonts w:ascii="Arial" w:eastAsia="Arial" w:hAnsi="Arial" w:cs="Arial"/>
          <w:color w:val="888888"/>
        </w:rPr>
        <w:t>LLC  ·</w:t>
      </w:r>
      <w:proofErr w:type="gramEnd"/>
      <w:r>
        <w:rPr>
          <w:rFonts w:ascii="Arial" w:eastAsia="Arial" w:hAnsi="Arial" w:cs="Arial"/>
          <w:color w:val="888888"/>
        </w:rPr>
        <w:t xml:space="preserve">  Dryads Pearl </w:t>
      </w:r>
      <w:proofErr w:type="gramStart"/>
      <w:r>
        <w:rPr>
          <w:rFonts w:ascii="Arial" w:eastAsia="Arial" w:hAnsi="Arial" w:cs="Arial"/>
          <w:color w:val="888888"/>
        </w:rPr>
        <w:t>Cathedral  ·</w:t>
      </w:r>
      <w:proofErr w:type="gramEnd"/>
      <w:r>
        <w:rPr>
          <w:rFonts w:ascii="Arial" w:eastAsia="Arial" w:hAnsi="Arial" w:cs="Arial"/>
          <w:color w:val="888888"/>
        </w:rPr>
        <w:t xml:space="preserve">  Genetic </w:t>
      </w:r>
      <w:proofErr w:type="gramStart"/>
      <w:r>
        <w:rPr>
          <w:rFonts w:ascii="Arial" w:eastAsia="Arial" w:hAnsi="Arial" w:cs="Arial"/>
          <w:color w:val="888888"/>
        </w:rPr>
        <w:t>Appendix  ·</w:t>
      </w:r>
      <w:proofErr w:type="gramEnd"/>
      <w:r>
        <w:rPr>
          <w:rFonts w:ascii="Arial" w:eastAsia="Arial" w:hAnsi="Arial" w:cs="Arial"/>
          <w:color w:val="888888"/>
        </w:rPr>
        <w:t xml:space="preserve">  Document DPC-GEN-MOSS-</w:t>
      </w:r>
      <w:proofErr w:type="gramStart"/>
      <w:r>
        <w:rPr>
          <w:rFonts w:ascii="Arial" w:eastAsia="Arial" w:hAnsi="Arial" w:cs="Arial"/>
          <w:color w:val="888888"/>
        </w:rPr>
        <w:t>001  ·</w:t>
      </w:r>
      <w:proofErr w:type="gramEnd"/>
      <w:r>
        <w:rPr>
          <w:rFonts w:ascii="Arial" w:eastAsia="Arial" w:hAnsi="Arial" w:cs="Arial"/>
          <w:color w:val="888888"/>
        </w:rPr>
        <w:t xml:space="preserve">  2026</w:t>
      </w:r>
    </w:p>
    <w:p w14:paraId="18950EF4" w14:textId="77777777" w:rsidR="004169D5" w:rsidRDefault="00C30B9F">
      <w:pPr>
        <w:spacing w:after="100"/>
      </w:pPr>
      <w:r>
        <w:rPr>
          <w:rFonts w:ascii="Arial" w:eastAsia="Arial" w:hAnsi="Arial" w:cs="Arial"/>
          <w:b/>
          <w:bCs/>
          <w:color w:val="1A3A2A"/>
          <w:sz w:val="28"/>
          <w:szCs w:val="28"/>
        </w:rPr>
        <w:t>Overview</w:t>
      </w:r>
    </w:p>
    <w:p w14:paraId="296B7431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2C2C2A"/>
          <w:sz w:val="22"/>
          <w:szCs w:val="22"/>
        </w:rPr>
        <w:t xml:space="preserve">Base species: </w:t>
      </w:r>
      <w:proofErr w:type="spellStart"/>
      <w:r>
        <w:rPr>
          <w:rFonts w:ascii="Arial" w:eastAsia="Arial" w:hAnsi="Arial" w:cs="Arial"/>
          <w:color w:val="2C2C2A"/>
          <w:sz w:val="22"/>
          <w:szCs w:val="22"/>
        </w:rPr>
        <w:t>Leucobryum</w:t>
      </w:r>
      <w:proofErr w:type="spellEnd"/>
      <w:r>
        <w:rPr>
          <w:rFonts w:ascii="Arial" w:eastAsia="Arial" w:hAnsi="Arial" w:cs="Arial"/>
          <w:color w:val="2C2C2A"/>
          <w:sz w:val="22"/>
          <w:szCs w:val="22"/>
        </w:rPr>
        <w:t xml:space="preserve"> glaucum (pincushion / cushion moss) · Hardy USDA zones 3–9 · Native: Eastern North America &amp; Europe</w:t>
      </w:r>
    </w:p>
    <w:p w14:paraId="1A555591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2C2C2A"/>
          <w:sz w:val="22"/>
          <w:szCs w:val="22"/>
        </w:rPr>
        <w:t>Modifications: 4 gene packages · 4 source organisms · 10 individual genes</w:t>
      </w:r>
    </w:p>
    <w:p w14:paraId="56C06661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2C2C2A"/>
          <w:sz w:val="22"/>
          <w:szCs w:val="22"/>
        </w:rPr>
        <w:t>Function: Self-limiting living seal for the lens-shaped gaps between leaning Titan Breadnut trunks and algae/nacre wall panels in the Dryads Pearl Cathedral dwelling structure.</w:t>
      </w:r>
    </w:p>
    <w:p w14:paraId="2E2474C0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2C2C2A"/>
          <w:sz w:val="22"/>
          <w:szCs w:val="22"/>
        </w:rPr>
        <w:t>The gaps between guided trunks form an organic lens shape — widest at mid-height, pinching to contact at top and bottom. Wild moss would overgrow panels and joints. The “Seal” cultivar grows freely in open space, stops permanently at every surface it touches, develops a hard lignified outer skin at contact zones while remaining soft inside, swells tighter against surfaces in wet seasons, and survives centuries of freeze-thaw cycling without maintenance.</w:t>
      </w:r>
    </w:p>
    <w:p w14:paraId="479FB79A" w14:textId="77777777" w:rsidR="004169D5" w:rsidRDefault="004169D5">
      <w:pPr>
        <w:pBdr>
          <w:bottom w:val="single" w:sz="6" w:space="1" w:color="2A541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1"/>
        <w:gridCol w:w="5132"/>
        <w:gridCol w:w="2987"/>
      </w:tblGrid>
      <w:tr w:rsidR="004169D5" w14:paraId="234E22F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5E38" w14:textId="77777777" w:rsidR="004169D5" w:rsidRDefault="00C30B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0A5230"/>
              </w:rPr>
              <w:t>Package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6AEC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0A5230"/>
                <w:sz w:val="22"/>
                <w:szCs w:val="22"/>
              </w:rPr>
              <w:t>Contact-halt growth 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E51B" w14:textId="77777777" w:rsidR="004169D5" w:rsidRDefault="00C30B9F">
            <w:r>
              <w:rPr>
                <w:rFonts w:ascii="Arial" w:eastAsia="Arial" w:hAnsi="Arial" w:cs="Arial"/>
                <w:i/>
                <w:iCs/>
                <w:color w:val="0A5230"/>
                <w:sz w:val="19"/>
                <w:szCs w:val="19"/>
              </w:rPr>
              <w:t>Arabidopsis thaliana + Mimosa pudica</w:t>
            </w:r>
          </w:p>
        </w:tc>
      </w:tr>
    </w:tbl>
    <w:p w14:paraId="079F1AC5" w14:textId="77777777" w:rsidR="004169D5" w:rsidRDefault="004169D5">
      <w:pPr>
        <w:spacing w:before="80"/>
      </w:pPr>
    </w:p>
    <w:p w14:paraId="7DD2B946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Objective</w:t>
      </w:r>
    </w:p>
    <w:p w14:paraId="181ABE19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2C2C2A"/>
          <w:sz w:val="22"/>
          <w:szCs w:val="22"/>
        </w:rPr>
        <w:t>Moss grows freely in open space and stops expanding the moment it makes sustained physical contact with any trunk surface or panel edge — permanently. No continued lateral spread. Self-limiting without any external intervention.</w:t>
      </w:r>
    </w:p>
    <w:p w14:paraId="54FB8EBC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Genes transferred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57600A6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19FB157" w14:textId="77777777" w:rsidR="004169D5" w:rsidRDefault="00C30B9F">
            <w:pPr>
              <w:shd w:val="clear" w:color="auto" w:fill="F0EDE8"/>
            </w:pPr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AtTCH2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6337C9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Touch-response calmodulin gene from Arabidopsis — upregulated by mechanical contact, triggers downstream growth arrest via calcium signaling cascade</w:t>
            </w:r>
          </w:p>
        </w:tc>
      </w:tr>
    </w:tbl>
    <w:p w14:paraId="1A7C49AB" w14:textId="77777777" w:rsidR="004169D5" w:rsidRDefault="004169D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6565235F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D22F1B3" w14:textId="77777777" w:rsidR="004169D5" w:rsidRDefault="00C30B9F">
            <w:pPr>
              <w:shd w:val="clear" w:color="auto" w:fill="F0EDE8"/>
            </w:pPr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AtTCH4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9F2BEE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Xyloglucan endotransglucosylase/hydrolase — contact-induced cell wall stiffening that reduces </w:t>
            </w:r>
            <w:proofErr w:type="spellStart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expansin</w:t>
            </w:r>
            <w:proofErr w:type="spellEnd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 activity and halts elongation at the contact face</w:t>
            </w:r>
          </w:p>
        </w:tc>
      </w:tr>
    </w:tbl>
    <w:p w14:paraId="740AF283" w14:textId="77777777" w:rsidR="004169D5" w:rsidRDefault="004169D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67E0B2AB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3068738" w14:textId="77777777" w:rsidR="004169D5" w:rsidRDefault="00C30B9F">
            <w:pPr>
              <w:shd w:val="clear" w:color="auto" w:fill="F0EDE8"/>
            </w:pPr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MpMIM1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7E6476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Mechanosensitive ion channel from Mimosa pudica — rapid calcium influx upon sustained pressure, triggering persistent growth arrest rather than transient </w:t>
            </w:r>
            <w:proofErr w:type="spellStart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thigmonastic</w:t>
            </w:r>
            <w:proofErr w:type="spellEnd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 response</w:t>
            </w:r>
          </w:p>
        </w:tc>
      </w:tr>
    </w:tbl>
    <w:p w14:paraId="323345FB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Molecular mechanism</w:t>
      </w:r>
    </w:p>
    <w:p w14:paraId="74106B52" w14:textId="77777777" w:rsidR="004169D5" w:rsidRDefault="00C30B9F">
      <w:pPr>
        <w:shd w:val="clear" w:color="auto" w:fill="F5F4F0"/>
        <w:spacing w:before="14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Thigmomorphogenesis pathway</w:t>
      </w:r>
    </w:p>
    <w:p w14:paraId="34F23162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Sustained</w:t>
      </w:r>
      <w:proofErr w:type="gramEnd"/>
      <w:r>
        <w:rPr>
          <w:rFonts w:ascii="Arial" w:eastAsia="Arial" w:hAnsi="Arial" w:cs="Arial"/>
          <w:color w:val="5F5E5A"/>
        </w:rPr>
        <w:t xml:space="preserve"> contact (&gt;2 </w:t>
      </w:r>
      <w:proofErr w:type="spellStart"/>
      <w:r>
        <w:rPr>
          <w:rFonts w:ascii="Arial" w:eastAsia="Arial" w:hAnsi="Arial" w:cs="Arial"/>
          <w:color w:val="5F5E5A"/>
        </w:rPr>
        <w:t>hrs</w:t>
      </w:r>
      <w:proofErr w:type="spellEnd"/>
      <w:r>
        <w:rPr>
          <w:rFonts w:ascii="Arial" w:eastAsia="Arial" w:hAnsi="Arial" w:cs="Arial"/>
          <w:color w:val="5F5E5A"/>
        </w:rPr>
        <w:t xml:space="preserve"> continuous) opens MpMIM1 mechanosensitive channels at contact face</w:t>
      </w:r>
    </w:p>
    <w:p w14:paraId="4A5D5B89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Calcium</w:t>
      </w:r>
      <w:proofErr w:type="gramEnd"/>
      <w:r>
        <w:rPr>
          <w:rFonts w:ascii="Arial" w:eastAsia="Arial" w:hAnsi="Arial" w:cs="Arial"/>
          <w:color w:val="5F5E5A"/>
        </w:rPr>
        <w:t xml:space="preserve"> floods into contact-side cells → activates AtTCH2 calmodulin pathway</w:t>
      </w:r>
    </w:p>
    <w:p w14:paraId="7A8D75ED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AtTCH</w:t>
      </w:r>
      <w:proofErr w:type="gramEnd"/>
      <w:r>
        <w:rPr>
          <w:rFonts w:ascii="Arial" w:eastAsia="Arial" w:hAnsi="Arial" w:cs="Arial"/>
          <w:color w:val="5F5E5A"/>
        </w:rPr>
        <w:t xml:space="preserve">2 upregulates AtTCH4 → cell wall stiffening, </w:t>
      </w:r>
      <w:proofErr w:type="spellStart"/>
      <w:r>
        <w:rPr>
          <w:rFonts w:ascii="Arial" w:eastAsia="Arial" w:hAnsi="Arial" w:cs="Arial"/>
          <w:color w:val="5F5E5A"/>
        </w:rPr>
        <w:t>expansin</w:t>
      </w:r>
      <w:proofErr w:type="spellEnd"/>
      <w:r>
        <w:rPr>
          <w:rFonts w:ascii="Arial" w:eastAsia="Arial" w:hAnsi="Arial" w:cs="Arial"/>
          <w:color w:val="5F5E5A"/>
        </w:rPr>
        <w:t xml:space="preserve"> inhibition on contact side only</w:t>
      </w:r>
    </w:p>
    <w:p w14:paraId="1FF1F92A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Growth</w:t>
      </w:r>
      <w:proofErr w:type="gramEnd"/>
      <w:r>
        <w:rPr>
          <w:rFonts w:ascii="Arial" w:eastAsia="Arial" w:hAnsi="Arial" w:cs="Arial"/>
          <w:color w:val="5F5E5A"/>
        </w:rPr>
        <w:t xml:space="preserve"> arrests on contact face — opposite face continues inward to fill remaining gap</w:t>
      </w:r>
    </w:p>
    <w:p w14:paraId="20F081AC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Once</w:t>
      </w:r>
      <w:proofErr w:type="gramEnd"/>
      <w:r>
        <w:rPr>
          <w:rFonts w:ascii="Arial" w:eastAsia="Arial" w:hAnsi="Arial" w:cs="Arial"/>
          <w:color w:val="5F5E5A"/>
        </w:rPr>
        <w:t xml:space="preserve"> gap is fully bridged, all faces contact → full growth arrest. Seal complete.</w:t>
      </w:r>
    </w:p>
    <w:p w14:paraId="45AB6CEA" w14:textId="77777777" w:rsidR="004169D5" w:rsidRDefault="004169D5">
      <w:pPr>
        <w:spacing w:before="80"/>
      </w:pPr>
    </w:p>
    <w:p w14:paraId="5C7E2725" w14:textId="77777777" w:rsidR="004169D5" w:rsidRDefault="00C30B9F">
      <w:pPr>
        <w:pBdr>
          <w:left w:val="single" w:sz="6" w:space="8" w:color="C8C4B8"/>
        </w:pBdr>
        <w:spacing w:before="100" w:after="100"/>
        <w:ind w:left="360"/>
      </w:pPr>
      <w:r>
        <w:rPr>
          <w:rFonts w:ascii="Arial" w:eastAsia="Arial" w:hAnsi="Arial" w:cs="Arial"/>
          <w:i/>
          <w:iCs/>
          <w:color w:val="5F5E5A"/>
        </w:rPr>
        <w:lastRenderedPageBreak/>
        <w:t>The 2-hour contact threshold prevents false-triggering from rain droplets, insects, or brief disturbances. Only sustained, consistent contact activates arrest. The moss remains living and metabolically active; it simply stops expanding laterally.</w:t>
      </w:r>
    </w:p>
    <w:p w14:paraId="6EB0A3FC" w14:textId="77777777" w:rsidR="004169D5" w:rsidRDefault="004169D5">
      <w:pPr>
        <w:pBdr>
          <w:bottom w:val="single" w:sz="6" w:space="1" w:color="2A541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1"/>
        <w:gridCol w:w="5134"/>
        <w:gridCol w:w="2985"/>
      </w:tblGrid>
      <w:tr w:rsidR="004169D5" w14:paraId="330ABD6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E9D2" w14:textId="77777777" w:rsidR="004169D5" w:rsidRDefault="00C30B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6B3A04"/>
              </w:rPr>
              <w:t>Package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C6B9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6B3A04"/>
                <w:sz w:val="22"/>
                <w:szCs w:val="22"/>
              </w:rPr>
              <w:t>Contact-face lignin production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9235" w14:textId="77777777" w:rsidR="004169D5" w:rsidRDefault="00C30B9F">
            <w:r>
              <w:rPr>
                <w:rFonts w:ascii="Arial" w:eastAsia="Arial" w:hAnsi="Arial" w:cs="Arial"/>
                <w:i/>
                <w:iCs/>
                <w:color w:val="6B3A04"/>
                <w:sz w:val="19"/>
                <w:szCs w:val="19"/>
              </w:rPr>
              <w:t>Pinus radiata (radiata pine)</w:t>
            </w:r>
          </w:p>
        </w:tc>
      </w:tr>
    </w:tbl>
    <w:p w14:paraId="3E117442" w14:textId="77777777" w:rsidR="004169D5" w:rsidRDefault="004169D5">
      <w:pPr>
        <w:spacing w:before="80"/>
      </w:pPr>
    </w:p>
    <w:p w14:paraId="3EA5DF45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Objective</w:t>
      </w:r>
    </w:p>
    <w:p w14:paraId="7C7324FE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2C2C2A"/>
          <w:sz w:val="22"/>
          <w:szCs w:val="22"/>
        </w:rPr>
        <w:t xml:space="preserve">Wild </w:t>
      </w:r>
      <w:proofErr w:type="spellStart"/>
      <w:r>
        <w:rPr>
          <w:rFonts w:ascii="Arial" w:eastAsia="Arial" w:hAnsi="Arial" w:cs="Arial"/>
          <w:color w:val="2C2C2A"/>
          <w:sz w:val="22"/>
          <w:szCs w:val="22"/>
        </w:rPr>
        <w:t>Leucobryum</w:t>
      </w:r>
      <w:proofErr w:type="spellEnd"/>
      <w:r>
        <w:rPr>
          <w:rFonts w:ascii="Arial" w:eastAsia="Arial" w:hAnsi="Arial" w:cs="Arial"/>
          <w:color w:val="2C2C2A"/>
          <w:sz w:val="22"/>
          <w:szCs w:val="22"/>
        </w:rPr>
        <w:t xml:space="preserve"> lacks lignin entirely — its cell walls are cellulose and pectin only. This package adds lignin production specifically at the trunk/panel contact surface, creating a hard, weather-resistant seal layer while the inner cushion body remains soft and compressible.</w:t>
      </w:r>
    </w:p>
    <w:p w14:paraId="685F16B0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Key biological fact</w:t>
      </w:r>
    </w:p>
    <w:p w14:paraId="22F645DD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2C2C2A"/>
          <w:sz w:val="22"/>
          <w:szCs w:val="22"/>
        </w:rPr>
        <w:t>Mosses are the only major land plant lineage that lacks lignin. Introducing lignin biosynthesis into a bryophyte is genuinely novel — no wild moss species has evolved this capability. This represents a true de novo modification. Academic interest is high; this alone could anchor a PhD dissertation.</w:t>
      </w:r>
    </w:p>
    <w:p w14:paraId="5CE306A6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Genes transferred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1E47128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C830691" w14:textId="77777777" w:rsidR="004169D5" w:rsidRDefault="00C30B9F">
            <w:pPr>
              <w:shd w:val="clear" w:color="auto" w:fill="F0EDE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PrPAL</w:t>
            </w:r>
            <w:proofErr w:type="spellEnd"/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9FB09C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Phenylalanine ammonia-lyase from Pinus radiata — entry point to the phenylpropanoid/lignin biosynthesis pathway, activated by the same calcium cascade as Package 1 (contact-triggered via AtTCH2-responsive promoter)</w:t>
            </w:r>
          </w:p>
        </w:tc>
      </w:tr>
    </w:tbl>
    <w:p w14:paraId="279EDEA6" w14:textId="77777777" w:rsidR="004169D5" w:rsidRDefault="004169D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0B5B8292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4D047B8" w14:textId="77777777" w:rsidR="004169D5" w:rsidRDefault="00C30B9F">
            <w:pPr>
              <w:shd w:val="clear" w:color="auto" w:fill="F0EDE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PrCAD</w:t>
            </w:r>
            <w:proofErr w:type="spellEnd"/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5C2747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Cinnamyl alcohol dehydrogenase — final step in monolignol production, determines lignin density. Expression controlled by contact-zone specific promoter (AtTCH2-responsive element)</w:t>
            </w:r>
          </w:p>
        </w:tc>
      </w:tr>
    </w:tbl>
    <w:p w14:paraId="50ACE238" w14:textId="77777777" w:rsidR="004169D5" w:rsidRDefault="004169D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3516C982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36F6D9E" w14:textId="77777777" w:rsidR="004169D5" w:rsidRDefault="00C30B9F">
            <w:pPr>
              <w:shd w:val="clear" w:color="auto" w:fill="F0EDE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PrPOX</w:t>
            </w:r>
            <w:proofErr w:type="spellEnd"/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CCEFC3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Cell wall peroxidase — polymerizes monolignols into mature lignin polymer within cell walls of the contact zone only</w:t>
            </w:r>
          </w:p>
        </w:tc>
      </w:tr>
    </w:tbl>
    <w:p w14:paraId="463D4682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Zonal expression control</w:t>
      </w:r>
    </w:p>
    <w:p w14:paraId="37C6D19A" w14:textId="77777777" w:rsidR="004169D5" w:rsidRDefault="00C30B9F">
      <w:pPr>
        <w:shd w:val="clear" w:color="auto" w:fill="F5F4F0"/>
        <w:spacing w:before="14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Lignification cascade</w:t>
      </w:r>
    </w:p>
    <w:p w14:paraId="6163DBC2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All</w:t>
      </w:r>
      <w:proofErr w:type="gramEnd"/>
      <w:r>
        <w:rPr>
          <w:rFonts w:ascii="Arial" w:eastAsia="Arial" w:hAnsi="Arial" w:cs="Arial"/>
          <w:color w:val="5F5E5A"/>
        </w:rPr>
        <w:t xml:space="preserve"> three lignin genes placed under AtTCH2-responsive promoter — only </w:t>
      </w:r>
      <w:proofErr w:type="gramStart"/>
      <w:r>
        <w:rPr>
          <w:rFonts w:ascii="Arial" w:eastAsia="Arial" w:hAnsi="Arial" w:cs="Arial"/>
          <w:color w:val="5F5E5A"/>
        </w:rPr>
        <w:t>activates</w:t>
      </w:r>
      <w:proofErr w:type="gramEnd"/>
      <w:r>
        <w:rPr>
          <w:rFonts w:ascii="Arial" w:eastAsia="Arial" w:hAnsi="Arial" w:cs="Arial"/>
          <w:color w:val="5F5E5A"/>
        </w:rPr>
        <w:t xml:space="preserve"> when calcium signal from Package 1 is present</w:t>
      </w:r>
    </w:p>
    <w:p w14:paraId="4EF28102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Lignification</w:t>
      </w:r>
      <w:proofErr w:type="gramEnd"/>
      <w:r>
        <w:rPr>
          <w:rFonts w:ascii="Arial" w:eastAsia="Arial" w:hAnsi="Arial" w:cs="Arial"/>
          <w:color w:val="5F5E5A"/>
        </w:rPr>
        <w:t xml:space="preserve"> therefore only occurs at cells already in sustained contact — inner cushion body never lignifies</w:t>
      </w:r>
    </w:p>
    <w:p w14:paraId="484C1A45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Over</w:t>
      </w:r>
      <w:proofErr w:type="gramEnd"/>
      <w:r>
        <w:rPr>
          <w:rFonts w:ascii="Arial" w:eastAsia="Arial" w:hAnsi="Arial" w:cs="Arial"/>
          <w:color w:val="5F5E5A"/>
        </w:rPr>
        <w:t xml:space="preserve"> 2–3 growing seasons, contact-zone cells build up 3–5 cell layers of lignified wall</w:t>
      </w:r>
    </w:p>
    <w:p w14:paraId="2A989C2A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Result</w:t>
      </w:r>
      <w:proofErr w:type="gramEnd"/>
      <w:r>
        <w:rPr>
          <w:rFonts w:ascii="Arial" w:eastAsia="Arial" w:hAnsi="Arial" w:cs="Arial"/>
          <w:color w:val="5F5E5A"/>
        </w:rPr>
        <w:t>: Hard bark-adhering outer face + soft conforming interior — a biological rubber gasket with a leather skin</w:t>
      </w:r>
    </w:p>
    <w:p w14:paraId="3BABBB98" w14:textId="77777777" w:rsidR="004169D5" w:rsidRDefault="004169D5">
      <w:pPr>
        <w:pBdr>
          <w:bottom w:val="single" w:sz="6" w:space="1" w:color="2A541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1"/>
        <w:gridCol w:w="5133"/>
        <w:gridCol w:w="2986"/>
      </w:tblGrid>
      <w:tr w:rsidR="004169D5" w14:paraId="1209A03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82DF" w14:textId="77777777" w:rsidR="004169D5" w:rsidRDefault="00C30B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2A5410"/>
              </w:rPr>
              <w:t>Package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77E1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2A5410"/>
                <w:sz w:val="22"/>
                <w:szCs w:val="22"/>
              </w:rPr>
              <w:t>Enhanced desiccation tolerance + hygroscopic sealing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EEE6" w14:textId="77777777" w:rsidR="004169D5" w:rsidRDefault="00C30B9F">
            <w:proofErr w:type="spellStart"/>
            <w:r>
              <w:rPr>
                <w:rFonts w:ascii="Arial" w:eastAsia="Arial" w:hAnsi="Arial" w:cs="Arial"/>
                <w:i/>
                <w:iCs/>
                <w:color w:val="2A5410"/>
                <w:sz w:val="19"/>
                <w:szCs w:val="19"/>
              </w:rPr>
              <w:t>Syntrichia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A541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A5410"/>
                <w:sz w:val="19"/>
                <w:szCs w:val="19"/>
              </w:rPr>
              <w:t>caninervis</w:t>
            </w:r>
            <w:proofErr w:type="spellEnd"/>
          </w:p>
        </w:tc>
      </w:tr>
    </w:tbl>
    <w:p w14:paraId="1653E301" w14:textId="77777777" w:rsidR="004169D5" w:rsidRDefault="004169D5">
      <w:pPr>
        <w:spacing w:before="80"/>
      </w:pPr>
    </w:p>
    <w:p w14:paraId="2B38575C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Objective</w:t>
      </w:r>
    </w:p>
    <w:p w14:paraId="2B7C2E87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2C2C2A"/>
          <w:sz w:val="22"/>
          <w:szCs w:val="22"/>
        </w:rPr>
        <w:t xml:space="preserve">Wild </w:t>
      </w:r>
      <w:proofErr w:type="spellStart"/>
      <w:r>
        <w:rPr>
          <w:rFonts w:ascii="Arial" w:eastAsia="Arial" w:hAnsi="Arial" w:cs="Arial"/>
          <w:color w:val="2C2C2A"/>
          <w:sz w:val="22"/>
          <w:szCs w:val="22"/>
        </w:rPr>
        <w:t>Leucobryum</w:t>
      </w:r>
      <w:proofErr w:type="spellEnd"/>
      <w:r>
        <w:rPr>
          <w:rFonts w:ascii="Arial" w:eastAsia="Arial" w:hAnsi="Arial" w:cs="Arial"/>
          <w:color w:val="2C2C2A"/>
          <w:sz w:val="22"/>
          <w:szCs w:val="22"/>
        </w:rPr>
        <w:t xml:space="preserve"> can absorb up to 20× its weight in water but is only moderately </w:t>
      </w:r>
      <w:proofErr w:type="gramStart"/>
      <w:r>
        <w:rPr>
          <w:rFonts w:ascii="Arial" w:eastAsia="Arial" w:hAnsi="Arial" w:cs="Arial"/>
          <w:color w:val="2C2C2A"/>
          <w:sz w:val="22"/>
          <w:szCs w:val="22"/>
        </w:rPr>
        <w:t>desiccation-tolerant</w:t>
      </w:r>
      <w:proofErr w:type="gramEnd"/>
      <w:r>
        <w:rPr>
          <w:rFonts w:ascii="Arial" w:eastAsia="Arial" w:hAnsi="Arial" w:cs="Arial"/>
          <w:color w:val="2C2C2A"/>
          <w:sz w:val="22"/>
          <w:szCs w:val="22"/>
        </w:rPr>
        <w:t>. For climate-variant Cathedral builds (Utah, African Sahel, drought periods) and to ensure reliable weather-responsive sealing, enhanced hygroscopic performance and desiccation recovery are required.</w:t>
      </w:r>
    </w:p>
    <w:p w14:paraId="5611BD2B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The passive weather-sealing mechanism</w:t>
      </w:r>
    </w:p>
    <w:p w14:paraId="01930972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2C2C2A"/>
          <w:sz w:val="22"/>
          <w:szCs w:val="22"/>
        </w:rPr>
        <w:t>Mosses swell when wet and contract when dry. In the Cathedral lens gap, this seasonal movement is a designed feature: the gasket expands in wet PNW winters, pressing harder against the trunk and panel — tightening the seal precisely when wind and rain pressure is highest. In dry summers it contracts slightly, allowing the wood to breathe. This is passive weather-responsive sealing with no mechanical components, no maintenance, and no energy input.</w:t>
      </w:r>
    </w:p>
    <w:p w14:paraId="00DE0055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Genes transferred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250E118A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FBF6CE8" w14:textId="77777777" w:rsidR="004169D5" w:rsidRDefault="00C30B9F">
            <w:pPr>
              <w:shd w:val="clear" w:color="auto" w:fill="F0EDE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ScLEA</w:t>
            </w:r>
            <w:proofErr w:type="spellEnd"/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C1F62E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Late embryogenesis </w:t>
            </w:r>
            <w:proofErr w:type="gramStart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abundant</w:t>
            </w:r>
            <w:proofErr w:type="gramEnd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 protein from </w:t>
            </w:r>
            <w:proofErr w:type="spellStart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Syntrichia</w:t>
            </w:r>
            <w:proofErr w:type="spellEnd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caninervis</w:t>
            </w:r>
            <w:proofErr w:type="spellEnd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 (“resurrection moss</w:t>
            </w:r>
            <w:proofErr w:type="gramStart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”) —</w:t>
            </w:r>
            <w:proofErr w:type="gramEnd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 coats cellular membranes during desiccation, preventing structural damage. Allows full recovery from complete drying within 24 </w:t>
            </w:r>
            <w:proofErr w:type="spellStart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hrs</w:t>
            </w:r>
            <w:proofErr w:type="spellEnd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 of rehydration</w:t>
            </w:r>
          </w:p>
        </w:tc>
      </w:tr>
    </w:tbl>
    <w:p w14:paraId="27C391E8" w14:textId="77777777" w:rsidR="004169D5" w:rsidRDefault="004169D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501AAD91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4C142A8" w14:textId="77777777" w:rsidR="004169D5" w:rsidRDefault="00C30B9F">
            <w:pPr>
              <w:shd w:val="clear" w:color="auto" w:fill="F0EDE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ScDHN</w:t>
            </w:r>
            <w:proofErr w:type="spellEnd"/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26E48C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Dehydrin protein — binds water molecules at cell surfaces, increasing hygroscopic capacity from ~20× to ~35× body weight. Creates more pronounced wet/dry volume differential for tighter seasonal seal cycling</w:t>
            </w:r>
          </w:p>
        </w:tc>
      </w:tr>
    </w:tbl>
    <w:p w14:paraId="2A81844B" w14:textId="77777777" w:rsidR="004169D5" w:rsidRDefault="004169D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26AEBCD2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5BD0B4F" w14:textId="77777777" w:rsidR="004169D5" w:rsidRDefault="00C30B9F">
            <w:pPr>
              <w:shd w:val="clear" w:color="auto" w:fill="F0EDE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ScSOD</w:t>
            </w:r>
            <w:proofErr w:type="spellEnd"/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67BC48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Superoxide dismutase — neutralizes reactive oxygen species generated during desiccation/rehydration cycles, extending moss lifespan through decades of repeated seasonal dry-wet cycling</w:t>
            </w:r>
          </w:p>
        </w:tc>
      </w:tr>
    </w:tbl>
    <w:p w14:paraId="188E93A4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Seasonal sealing cycle — Pacific Northwest</w:t>
      </w:r>
    </w:p>
    <w:p w14:paraId="30C2CA27" w14:textId="77777777" w:rsidR="004169D5" w:rsidRDefault="00C30B9F">
      <w:pPr>
        <w:shd w:val="clear" w:color="auto" w:fill="F5F4F0"/>
        <w:spacing w:before="14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Weather-responsive cycle</w:t>
      </w:r>
    </w:p>
    <w:p w14:paraId="3BD21043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Autumn</w:t>
      </w:r>
      <w:proofErr w:type="gramEnd"/>
      <w:r>
        <w:rPr>
          <w:rFonts w:ascii="Arial" w:eastAsia="Arial" w:hAnsi="Arial" w:cs="Arial"/>
          <w:color w:val="5F5E5A"/>
        </w:rPr>
        <w:t>/winter: Moss absorbs rainwater → swells to ~35× dry weight → presses hard against trunk and panel → maximum weather seal</w:t>
      </w:r>
    </w:p>
    <w:p w14:paraId="04C6A8DE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Summer</w:t>
      </w:r>
      <w:proofErr w:type="gramEnd"/>
      <w:r>
        <w:rPr>
          <w:rFonts w:ascii="Arial" w:eastAsia="Arial" w:hAnsi="Arial" w:cs="Arial"/>
          <w:color w:val="5F5E5A"/>
        </w:rPr>
        <w:t xml:space="preserve"> dry period: Moss dehydrates → contracts slightly → wood breathes freely → no seal damage (</w:t>
      </w:r>
      <w:proofErr w:type="spellStart"/>
      <w:r>
        <w:rPr>
          <w:rFonts w:ascii="Arial" w:eastAsia="Arial" w:hAnsi="Arial" w:cs="Arial"/>
          <w:color w:val="5F5E5A"/>
        </w:rPr>
        <w:t>ScLEA</w:t>
      </w:r>
      <w:proofErr w:type="spellEnd"/>
      <w:r>
        <w:rPr>
          <w:rFonts w:ascii="Arial" w:eastAsia="Arial" w:hAnsi="Arial" w:cs="Arial"/>
          <w:color w:val="5F5E5A"/>
        </w:rPr>
        <w:t>/DHN protect cells through drying)</w:t>
      </w:r>
    </w:p>
    <w:p w14:paraId="54490DE9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Rehydration</w:t>
      </w:r>
      <w:proofErr w:type="gramEnd"/>
      <w:r>
        <w:rPr>
          <w:rFonts w:ascii="Arial" w:eastAsia="Arial" w:hAnsi="Arial" w:cs="Arial"/>
          <w:color w:val="5F5E5A"/>
        </w:rPr>
        <w:t xml:space="preserve">: Full sealing function restored within 24 </w:t>
      </w:r>
      <w:proofErr w:type="spellStart"/>
      <w:r>
        <w:rPr>
          <w:rFonts w:ascii="Arial" w:eastAsia="Arial" w:hAnsi="Arial" w:cs="Arial"/>
          <w:color w:val="5F5E5A"/>
        </w:rPr>
        <w:t>hrs</w:t>
      </w:r>
      <w:proofErr w:type="spellEnd"/>
      <w:r>
        <w:rPr>
          <w:rFonts w:ascii="Arial" w:eastAsia="Arial" w:hAnsi="Arial" w:cs="Arial"/>
          <w:color w:val="5F5E5A"/>
        </w:rPr>
        <w:t xml:space="preserve"> of first autumn rain — biological memory of contact geometry maintained indefinitely</w:t>
      </w:r>
    </w:p>
    <w:p w14:paraId="11A78581" w14:textId="77777777" w:rsidR="004169D5" w:rsidRDefault="004169D5">
      <w:pPr>
        <w:pBdr>
          <w:bottom w:val="single" w:sz="6" w:space="1" w:color="2A541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1"/>
        <w:gridCol w:w="5132"/>
        <w:gridCol w:w="2987"/>
      </w:tblGrid>
      <w:tr w:rsidR="004169D5" w14:paraId="4048A97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61E1" w14:textId="77777777" w:rsidR="004169D5" w:rsidRDefault="00C30B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2C2060"/>
              </w:rPr>
              <w:t>Package 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E188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2C2060"/>
                <w:sz w:val="22"/>
                <w:szCs w:val="22"/>
              </w:rPr>
              <w:t>Cold hardiness + grove network integration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14B8" w14:textId="77777777" w:rsidR="004169D5" w:rsidRDefault="00C30B9F">
            <w:proofErr w:type="spellStart"/>
            <w:r>
              <w:rPr>
                <w:rFonts w:ascii="Arial" w:eastAsia="Arial" w:hAnsi="Arial" w:cs="Arial"/>
                <w:i/>
                <w:iCs/>
                <w:color w:val="2C2060"/>
                <w:sz w:val="19"/>
                <w:szCs w:val="19"/>
              </w:rPr>
              <w:t>Polytrichum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060"/>
                <w:sz w:val="19"/>
                <w:szCs w:val="19"/>
              </w:rPr>
              <w:t xml:space="preserve"> commune + Mineral Maven</w:t>
            </w:r>
          </w:p>
        </w:tc>
      </w:tr>
    </w:tbl>
    <w:p w14:paraId="3E9B07A9" w14:textId="77777777" w:rsidR="004169D5" w:rsidRDefault="004169D5">
      <w:pPr>
        <w:spacing w:before="80"/>
      </w:pPr>
    </w:p>
    <w:p w14:paraId="5C81C3C5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Objective</w:t>
      </w:r>
    </w:p>
    <w:p w14:paraId="7940538D" w14:textId="77777777" w:rsidR="004169D5" w:rsidRDefault="00C30B9F">
      <w:pPr>
        <w:spacing w:before="60" w:after="60"/>
      </w:pPr>
      <w:proofErr w:type="spellStart"/>
      <w:r>
        <w:rPr>
          <w:rFonts w:ascii="Arial" w:eastAsia="Arial" w:hAnsi="Arial" w:cs="Arial"/>
          <w:color w:val="2C2C2A"/>
          <w:sz w:val="22"/>
          <w:szCs w:val="22"/>
        </w:rPr>
        <w:t>Leucobryum</w:t>
      </w:r>
      <w:proofErr w:type="spellEnd"/>
      <w:r>
        <w:rPr>
          <w:rFonts w:ascii="Arial" w:eastAsia="Arial" w:hAnsi="Arial" w:cs="Arial"/>
          <w:color w:val="2C2C2A"/>
          <w:sz w:val="22"/>
          <w:szCs w:val="22"/>
        </w:rPr>
        <w:t xml:space="preserve"> glaucum is cold-tolerant to USDA Zone 3 but freeze-thaw cycling can disrupt the lignified contact layer over decades. This package adds freeze protection to match the Titan Breadnut’s −10°F cold-hardiness </w:t>
      </w:r>
      <w:proofErr w:type="gramStart"/>
      <w:r>
        <w:rPr>
          <w:rFonts w:ascii="Arial" w:eastAsia="Arial" w:hAnsi="Arial" w:cs="Arial"/>
          <w:color w:val="2C2C2A"/>
          <w:sz w:val="22"/>
          <w:szCs w:val="22"/>
        </w:rPr>
        <w:t>target, and</w:t>
      </w:r>
      <w:proofErr w:type="gramEnd"/>
      <w:r>
        <w:rPr>
          <w:rFonts w:ascii="Arial" w:eastAsia="Arial" w:hAnsi="Arial" w:cs="Arial"/>
          <w:color w:val="2C2C2A"/>
          <w:sz w:val="22"/>
          <w:szCs w:val="22"/>
        </w:rPr>
        <w:t xml:space="preserve"> provides a time-limited fungal network connection to support moss establishment during years 1–3.</w:t>
      </w:r>
    </w:p>
    <w:p w14:paraId="33D23325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Genes transferred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35523E0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200F413" w14:textId="77777777" w:rsidR="004169D5" w:rsidRDefault="00C30B9F">
            <w:pPr>
              <w:shd w:val="clear" w:color="auto" w:fill="F0EDE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PcAFP</w:t>
            </w:r>
            <w:proofErr w:type="spellEnd"/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A04A62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Antifreeze protein from </w:t>
            </w:r>
            <w:proofErr w:type="spellStart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Polytrichum</w:t>
            </w:r>
            <w:proofErr w:type="spellEnd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 commune — inhibits ice crystal growth within cell walls and intercellular spaces, preventing structural damage to the lignified contact zone during hard freeze events</w:t>
            </w:r>
          </w:p>
        </w:tc>
      </w:tr>
    </w:tbl>
    <w:p w14:paraId="2F22AE18" w14:textId="77777777" w:rsidR="004169D5" w:rsidRDefault="004169D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5FBAAB57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07DABDA" w14:textId="77777777" w:rsidR="004169D5" w:rsidRDefault="00C30B9F">
            <w:pPr>
              <w:shd w:val="clear" w:color="auto" w:fill="F0EDE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PcCOR</w:t>
            </w:r>
            <w:proofErr w:type="spellEnd"/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36C1EE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Cold-regulated protein — membrane lipid remodeling during cold acclimation, increasing membrane fluidity at low temperatures to prevent cellular rupture during rapid temperature drops</w:t>
            </w:r>
          </w:p>
        </w:tc>
      </w:tr>
    </w:tbl>
    <w:p w14:paraId="174C0751" w14:textId="77777777" w:rsidR="004169D5" w:rsidRDefault="004169D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169D5" w14:paraId="5EE8B501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AC178AE" w14:textId="77777777" w:rsidR="004169D5" w:rsidRDefault="00C30B9F">
            <w:pPr>
              <w:shd w:val="clear" w:color="auto" w:fill="F0EDE8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2A"/>
              </w:rPr>
              <w:t>MmSR</w:t>
            </w:r>
            <w:proofErr w:type="spellEnd"/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3F8546" w14:textId="77777777" w:rsidR="004169D5" w:rsidRDefault="00C30B9F"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Modified </w:t>
            </w:r>
            <w:proofErr w:type="spellStart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>strigolactone</w:t>
            </w:r>
            <w:proofErr w:type="spellEnd"/>
            <w:r>
              <w:rPr>
                <w:rFonts w:ascii="Arial" w:eastAsia="Arial" w:hAnsi="Arial" w:cs="Arial"/>
                <w:color w:val="5F5E5A"/>
                <w:sz w:val="21"/>
                <w:szCs w:val="21"/>
              </w:rPr>
              <w:t xml:space="preserve"> receptor (derived from Mineral Maven fungus specification) — allows gasket moss to receive Mineral Maven mycorrhizal network chemical signals, enabling nutrient delivery during establishment phase only (years 1–3)</w:t>
            </w:r>
          </w:p>
        </w:tc>
      </w:tr>
    </w:tbl>
    <w:p w14:paraId="2074DAC1" w14:textId="77777777" w:rsidR="004169D5" w:rsidRDefault="00C30B9F">
      <w:pPr>
        <w:spacing w:before="18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Grove integration pathway — time-limited by design</w:t>
      </w:r>
    </w:p>
    <w:p w14:paraId="3DF8ED76" w14:textId="77777777" w:rsidR="004169D5" w:rsidRDefault="00C30B9F">
      <w:pPr>
        <w:shd w:val="clear" w:color="auto" w:fill="F5F4F0"/>
        <w:spacing w:before="140" w:after="60"/>
      </w:pPr>
      <w:r>
        <w:rPr>
          <w:rFonts w:ascii="Arial" w:eastAsia="Arial" w:hAnsi="Arial" w:cs="Arial"/>
          <w:b/>
          <w:bCs/>
          <w:caps/>
          <w:color w:val="888780"/>
          <w:sz w:val="18"/>
          <w:szCs w:val="18"/>
        </w:rPr>
        <w:t>Establishment and severance</w:t>
      </w:r>
    </w:p>
    <w:p w14:paraId="11BAAF6C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During</w:t>
      </w:r>
      <w:proofErr w:type="gramEnd"/>
      <w:r>
        <w:rPr>
          <w:rFonts w:ascii="Arial" w:eastAsia="Arial" w:hAnsi="Arial" w:cs="Arial"/>
          <w:color w:val="5F5E5A"/>
        </w:rPr>
        <w:t xml:space="preserve"> establishment (yrs 1–3), Mineral Maven hyphae detect moss via modified </w:t>
      </w:r>
      <w:proofErr w:type="spellStart"/>
      <w:r>
        <w:rPr>
          <w:rFonts w:ascii="Arial" w:eastAsia="Arial" w:hAnsi="Arial" w:cs="Arial"/>
          <w:color w:val="5F5E5A"/>
        </w:rPr>
        <w:t>strigolactone</w:t>
      </w:r>
      <w:proofErr w:type="spellEnd"/>
      <w:r>
        <w:rPr>
          <w:rFonts w:ascii="Arial" w:eastAsia="Arial" w:hAnsi="Arial" w:cs="Arial"/>
          <w:color w:val="5F5E5A"/>
        </w:rPr>
        <w:t xml:space="preserve"> signal → deliver phosphorus and nitrogen to moss rhizoids</w:t>
      </w:r>
    </w:p>
    <w:p w14:paraId="41E876C2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>→  Once</w:t>
      </w:r>
      <w:proofErr w:type="gramEnd"/>
      <w:r>
        <w:rPr>
          <w:rFonts w:ascii="Arial" w:eastAsia="Arial" w:hAnsi="Arial" w:cs="Arial"/>
          <w:color w:val="5F5E5A"/>
        </w:rPr>
        <w:t xml:space="preserve"> gasket seal is complete and lignified, moss achieves nutritional self-sufficiency (photosynthesis + atmospheric deposition)</w:t>
      </w:r>
    </w:p>
    <w:p w14:paraId="0E20D6FB" w14:textId="77777777" w:rsidR="004169D5" w:rsidRDefault="00C30B9F">
      <w:pPr>
        <w:spacing w:before="40" w:after="40"/>
        <w:ind w:left="360"/>
      </w:pPr>
      <w:proofErr w:type="gramStart"/>
      <w:r>
        <w:rPr>
          <w:rFonts w:ascii="Arial" w:eastAsia="Arial" w:hAnsi="Arial" w:cs="Arial"/>
          <w:color w:val="5F5E5A"/>
        </w:rPr>
        <w:t xml:space="preserve">→  </w:t>
      </w:r>
      <w:proofErr w:type="spellStart"/>
      <w:r>
        <w:rPr>
          <w:rFonts w:ascii="Arial" w:eastAsia="Arial" w:hAnsi="Arial" w:cs="Arial"/>
          <w:color w:val="5F5E5A"/>
        </w:rPr>
        <w:t>MmSR</w:t>
      </w:r>
      <w:proofErr w:type="spellEnd"/>
      <w:proofErr w:type="gramEnd"/>
      <w:r>
        <w:rPr>
          <w:rFonts w:ascii="Arial" w:eastAsia="Arial" w:hAnsi="Arial" w:cs="Arial"/>
          <w:color w:val="5F5E5A"/>
        </w:rPr>
        <w:t xml:space="preserve"> receptor expression downregulated after seal completion → fungal dependency severed → Mineral Maven resources return to Titan Breadnut priority</w:t>
      </w:r>
    </w:p>
    <w:p w14:paraId="1CE4213E" w14:textId="77777777" w:rsidR="004169D5" w:rsidRDefault="004169D5">
      <w:pPr>
        <w:spacing w:before="80"/>
      </w:pPr>
    </w:p>
    <w:p w14:paraId="76DC1AFE" w14:textId="77777777" w:rsidR="004169D5" w:rsidRDefault="00C30B9F">
      <w:pPr>
        <w:pBdr>
          <w:left w:val="single" w:sz="6" w:space="8" w:color="C8C4B8"/>
        </w:pBdr>
        <w:spacing w:before="100" w:after="100"/>
        <w:ind w:left="360"/>
      </w:pPr>
      <w:r>
        <w:rPr>
          <w:rFonts w:ascii="Arial" w:eastAsia="Arial" w:hAnsi="Arial" w:cs="Arial"/>
          <w:i/>
          <w:iCs/>
          <w:color w:val="5F5E5A"/>
        </w:rPr>
        <w:t>The time-limited fungal dependency is a deliberate robustness feature. A permanently dependent gasket would be vulnerable to any disruption of the fungal network. Temporary scaffolding that self-severs after establishment creates a more resilient long-term system.</w:t>
      </w:r>
    </w:p>
    <w:p w14:paraId="75046972" w14:textId="77777777" w:rsidR="004169D5" w:rsidRDefault="004169D5">
      <w:pPr>
        <w:pBdr>
          <w:bottom w:val="single" w:sz="6" w:space="1" w:color="2A5410"/>
        </w:pBdr>
        <w:spacing w:before="200" w:after="200"/>
      </w:pPr>
    </w:p>
    <w:p w14:paraId="454E3F43" w14:textId="77777777" w:rsidR="004169D5" w:rsidRDefault="00C30B9F">
      <w:pPr>
        <w:spacing w:after="120"/>
      </w:pPr>
      <w:r>
        <w:rPr>
          <w:rFonts w:ascii="Arial" w:eastAsia="Arial" w:hAnsi="Arial" w:cs="Arial"/>
          <w:b/>
          <w:bCs/>
          <w:color w:val="1A3A2A"/>
          <w:sz w:val="28"/>
          <w:szCs w:val="28"/>
        </w:rPr>
        <w:t>Containment Protocol — Ecological Safety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169D5" w14:paraId="417BA7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C920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2C2C2A"/>
              </w:rPr>
              <w:t>Spore sterility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BE06" w14:textId="77777777" w:rsidR="004169D5" w:rsidRDefault="00C30B9F">
            <w:r>
              <w:rPr>
                <w:rFonts w:ascii="Arial" w:eastAsia="Arial" w:hAnsi="Arial" w:cs="Arial"/>
                <w:color w:val="5F5E5A"/>
              </w:rPr>
              <w:t xml:space="preserve">Sporophyte initiation genes silenced via RNA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interference — moss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reproduces only vegetatively by fragmentation. No airborne spore dispersal.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Cannot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colonize new locations without human placement.</w:t>
            </w:r>
          </w:p>
        </w:tc>
      </w:tr>
      <w:tr w:rsidR="004169D5" w14:paraId="7399EE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34C5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2C2C2A"/>
              </w:rPr>
              <w:t>Substrate specificity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4CD8" w14:textId="77777777" w:rsidR="004169D5" w:rsidRDefault="00C30B9F">
            <w:r>
              <w:rPr>
                <w:rFonts w:ascii="Arial" w:eastAsia="Arial" w:hAnsi="Arial" w:cs="Arial"/>
                <w:color w:val="5F5E5A"/>
              </w:rPr>
              <w:t>Growth-initiation genes require Titan Breadnut root exudate chemical signature (</w:t>
            </w:r>
            <w:proofErr w:type="spellStart"/>
            <w:r>
              <w:rPr>
                <w:rFonts w:ascii="Arial" w:eastAsia="Arial" w:hAnsi="Arial" w:cs="Arial"/>
                <w:color w:val="5F5E5A"/>
              </w:rPr>
              <w:t>strigolactone</w:t>
            </w:r>
            <w:proofErr w:type="spellEnd"/>
            <w:r>
              <w:rPr>
                <w:rFonts w:ascii="Arial" w:eastAsia="Arial" w:hAnsi="Arial" w:cs="Arial"/>
                <w:color w:val="5F5E5A"/>
              </w:rPr>
              <w:t xml:space="preserve"> variant) to activate from fragment state.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Cannot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establish on soil, rock, wood, or other plants.</w:t>
            </w:r>
          </w:p>
        </w:tc>
      </w:tr>
      <w:tr w:rsidR="004169D5" w14:paraId="69040F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5FC0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2C2C2A"/>
              </w:rPr>
              <w:t>Growth boundary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4641" w14:textId="77777777" w:rsidR="004169D5" w:rsidRDefault="00C30B9F">
            <w:r>
              <w:rPr>
                <w:rFonts w:ascii="Arial" w:eastAsia="Arial" w:hAnsi="Arial" w:cs="Arial"/>
                <w:color w:val="5F5E5A"/>
              </w:rPr>
              <w:t xml:space="preserve">Contact-halt system (Package 1) is constitutively active. Moss arrests at every surface it contacts. Cannot form invasive ground mats. More spatially constrained than wild </w:t>
            </w:r>
            <w:proofErr w:type="spellStart"/>
            <w:r>
              <w:rPr>
                <w:rFonts w:ascii="Arial" w:eastAsia="Arial" w:hAnsi="Arial" w:cs="Arial"/>
                <w:color w:val="5F5E5A"/>
              </w:rPr>
              <w:t>Leucobryum</w:t>
            </w:r>
            <w:proofErr w:type="spellEnd"/>
            <w:r>
              <w:rPr>
                <w:rFonts w:ascii="Arial" w:eastAsia="Arial" w:hAnsi="Arial" w:cs="Arial"/>
                <w:color w:val="5F5E5A"/>
              </w:rPr>
              <w:t>.</w:t>
            </w:r>
          </w:p>
        </w:tc>
      </w:tr>
      <w:tr w:rsidR="004169D5" w14:paraId="1C4810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F442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2C2C2A"/>
              </w:rPr>
              <w:t>Native ecosystem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6AF5" w14:textId="77777777" w:rsidR="004169D5" w:rsidRDefault="00C30B9F">
            <w:r>
              <w:rPr>
                <w:rFonts w:ascii="Arial" w:eastAsia="Arial" w:hAnsi="Arial" w:cs="Arial"/>
                <w:color w:val="5F5E5A"/>
              </w:rPr>
              <w:t>Zero — cannot establish without Titan Breadnut exudate, cannot disperse by spore, halts at all surface contact. Wild populations of L. glaucum are completely unaffected.</w:t>
            </w:r>
          </w:p>
        </w:tc>
      </w:tr>
    </w:tbl>
    <w:p w14:paraId="13BA1DA3" w14:textId="77777777" w:rsidR="004169D5" w:rsidRDefault="004169D5">
      <w:pPr>
        <w:pBdr>
          <w:bottom w:val="single" w:sz="6" w:space="1" w:color="2A5410"/>
        </w:pBdr>
        <w:spacing w:before="200" w:after="200"/>
      </w:pPr>
    </w:p>
    <w:p w14:paraId="660FA56B" w14:textId="77777777" w:rsidR="004169D5" w:rsidRDefault="00C30B9F">
      <w:pPr>
        <w:spacing w:after="120"/>
      </w:pPr>
      <w:r>
        <w:rPr>
          <w:rFonts w:ascii="Arial" w:eastAsia="Arial" w:hAnsi="Arial" w:cs="Arial"/>
          <w:b/>
          <w:bCs/>
          <w:color w:val="1A3A2A"/>
          <w:sz w:val="28"/>
          <w:szCs w:val="28"/>
        </w:rPr>
        <w:t>Summary — All Gene Packages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2029"/>
        <w:gridCol w:w="2245"/>
        <w:gridCol w:w="1635"/>
        <w:gridCol w:w="1965"/>
      </w:tblGrid>
      <w:tr w:rsidR="004169D5" w14:paraId="49CA8FF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9E459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9E215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2F87F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Source organism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426AB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genes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C6064" w14:textId="77777777" w:rsidR="004169D5" w:rsidRDefault="00C30B9F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Academic level</w:t>
            </w:r>
          </w:p>
        </w:tc>
      </w:tr>
      <w:tr w:rsidR="004169D5" w14:paraId="3B34ADC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1633F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1 — Contact-halt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95F65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Growth arrest at sustained contact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D9B1B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Arabidopsis thaliana, Mimosa pudica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42690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AtTCH2, AtTCH4, MpMIM1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82E49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PhD — novel in Bryophyta</w:t>
            </w:r>
          </w:p>
        </w:tc>
      </w:tr>
      <w:tr w:rsidR="004169D5" w14:paraId="3F8F71B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B0CCB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2 — Lignification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6CAB9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Hard seal skin, soft cushion interior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BE22A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Pinus radiata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03FA0" w14:textId="77777777" w:rsidR="004169D5" w:rsidRDefault="00C30B9F"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PrPAL</w:t>
            </w:r>
            <w:proofErr w:type="spellEnd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PrCAD</w:t>
            </w:r>
            <w:proofErr w:type="spellEnd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PrPOX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592D9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PhD — lignin in bryophyte first</w:t>
            </w:r>
          </w:p>
        </w:tc>
      </w:tr>
      <w:tr w:rsidR="004169D5" w14:paraId="0AA38B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B3081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3 — Hygroscopic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0C4B1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Weather-responsive sealing cycle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68FA6" w14:textId="77777777" w:rsidR="004169D5" w:rsidRDefault="00C30B9F"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Syntrichia</w:t>
            </w:r>
            <w:proofErr w:type="spellEnd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caninervis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18282" w14:textId="77777777" w:rsidR="004169D5" w:rsidRDefault="00C30B9F"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ScLEA</w:t>
            </w:r>
            <w:proofErr w:type="spellEnd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ScDHN</w:t>
            </w:r>
            <w:proofErr w:type="spellEnd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ScSOD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89FB3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Masters — established pathway</w:t>
            </w:r>
          </w:p>
        </w:tc>
      </w:tr>
      <w:tr w:rsidR="004169D5" w14:paraId="3F3419D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DBA52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4 — Cold + network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1B83F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Freeze tolerance, grove integration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64EA1" w14:textId="77777777" w:rsidR="004169D5" w:rsidRDefault="00C30B9F"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Polytrichum</w:t>
            </w:r>
            <w:proofErr w:type="spellEnd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 commune + Mineral Maven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37F88" w14:textId="77777777" w:rsidR="004169D5" w:rsidRDefault="00C30B9F"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PcAFP</w:t>
            </w:r>
            <w:proofErr w:type="spellEnd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PcCOR</w:t>
            </w:r>
            <w:proofErr w:type="spellEnd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MmSR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066CA" w14:textId="77777777" w:rsidR="004169D5" w:rsidRDefault="00C30B9F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Masters — known cold pathways</w:t>
            </w:r>
          </w:p>
        </w:tc>
      </w:tr>
    </w:tbl>
    <w:p w14:paraId="4CCF36E0" w14:textId="77777777" w:rsidR="004169D5" w:rsidRDefault="004169D5">
      <w:pPr>
        <w:pBdr>
          <w:bottom w:val="single" w:sz="6" w:space="1" w:color="2A5410"/>
        </w:pBdr>
        <w:spacing w:before="200" w:after="200"/>
      </w:pPr>
    </w:p>
    <w:p w14:paraId="447901F2" w14:textId="77777777" w:rsidR="004169D5" w:rsidRDefault="00C30B9F">
      <w:pPr>
        <w:spacing w:after="10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Related Documents</w:t>
      </w:r>
    </w:p>
    <w:p w14:paraId="714C8132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5F5E5A"/>
          <w:sz w:val="22"/>
          <w:szCs w:val="22"/>
        </w:rPr>
        <w:t>DPC-GEN-TREE-</w:t>
      </w:r>
      <w:proofErr w:type="gramStart"/>
      <w:r>
        <w:rPr>
          <w:rFonts w:ascii="Arial" w:eastAsia="Arial" w:hAnsi="Arial" w:cs="Arial"/>
          <w:color w:val="5F5E5A"/>
          <w:sz w:val="22"/>
          <w:szCs w:val="22"/>
        </w:rPr>
        <w:t>001  —</w:t>
      </w:r>
      <w:proofErr w:type="gramEnd"/>
      <w:r>
        <w:rPr>
          <w:rFonts w:ascii="Arial" w:eastAsia="Arial" w:hAnsi="Arial" w:cs="Arial"/>
          <w:color w:val="5F5E5A"/>
          <w:sz w:val="22"/>
          <w:szCs w:val="22"/>
        </w:rPr>
        <w:t xml:space="preserve">  Titan Breadnut (Artocarpus </w:t>
      </w:r>
      <w:proofErr w:type="spellStart"/>
      <w:r>
        <w:rPr>
          <w:rFonts w:ascii="Arial" w:eastAsia="Arial" w:hAnsi="Arial" w:cs="Arial"/>
          <w:color w:val="5F5E5A"/>
          <w:sz w:val="22"/>
          <w:szCs w:val="22"/>
        </w:rPr>
        <w:t>altilis</w:t>
      </w:r>
      <w:proofErr w:type="spellEnd"/>
      <w:r>
        <w:rPr>
          <w:rFonts w:ascii="Arial" w:eastAsia="Arial" w:hAnsi="Arial" w:cs="Arial"/>
          <w:color w:val="5F5E5A"/>
          <w:sz w:val="22"/>
          <w:szCs w:val="22"/>
        </w:rPr>
        <w:t>) genetic specifications</w:t>
      </w:r>
    </w:p>
    <w:p w14:paraId="1F0544AA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5F5E5A"/>
          <w:sz w:val="22"/>
          <w:szCs w:val="22"/>
        </w:rPr>
        <w:t xml:space="preserve">DPC-GEN-ABA-001   </w:t>
      </w:r>
      <w:proofErr w:type="gramStart"/>
      <w:r>
        <w:rPr>
          <w:rFonts w:ascii="Arial" w:eastAsia="Arial" w:hAnsi="Arial" w:cs="Arial"/>
          <w:color w:val="5F5E5A"/>
          <w:sz w:val="22"/>
          <w:szCs w:val="22"/>
        </w:rPr>
        <w:t>—  Nacre</w:t>
      </w:r>
      <w:proofErr w:type="gramEnd"/>
      <w:r>
        <w:rPr>
          <w:rFonts w:ascii="Arial" w:eastAsia="Arial" w:hAnsi="Arial" w:cs="Arial"/>
          <w:color w:val="5F5E5A"/>
          <w:sz w:val="22"/>
          <w:szCs w:val="22"/>
        </w:rPr>
        <w:t xml:space="preserve"> Architect abalone (Haliotis </w:t>
      </w:r>
      <w:proofErr w:type="spellStart"/>
      <w:r>
        <w:rPr>
          <w:rFonts w:ascii="Arial" w:eastAsia="Arial" w:hAnsi="Arial" w:cs="Arial"/>
          <w:color w:val="5F5E5A"/>
          <w:sz w:val="22"/>
          <w:szCs w:val="22"/>
        </w:rPr>
        <w:t>midae</w:t>
      </w:r>
      <w:proofErr w:type="spellEnd"/>
      <w:r>
        <w:rPr>
          <w:rFonts w:ascii="Arial" w:eastAsia="Arial" w:hAnsi="Arial" w:cs="Arial"/>
          <w:color w:val="5F5E5A"/>
          <w:sz w:val="22"/>
          <w:szCs w:val="22"/>
        </w:rPr>
        <w:t>) genetic specifications</w:t>
      </w:r>
    </w:p>
    <w:p w14:paraId="2827FE02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5F5E5A"/>
          <w:sz w:val="22"/>
          <w:szCs w:val="22"/>
        </w:rPr>
        <w:t>DPC-GEN-FUNG-</w:t>
      </w:r>
      <w:proofErr w:type="gramStart"/>
      <w:r>
        <w:rPr>
          <w:rFonts w:ascii="Arial" w:eastAsia="Arial" w:hAnsi="Arial" w:cs="Arial"/>
          <w:color w:val="5F5E5A"/>
          <w:sz w:val="22"/>
          <w:szCs w:val="22"/>
        </w:rPr>
        <w:t>001  —</w:t>
      </w:r>
      <w:proofErr w:type="gramEnd"/>
      <w:r>
        <w:rPr>
          <w:rFonts w:ascii="Arial" w:eastAsia="Arial" w:hAnsi="Arial" w:cs="Arial"/>
          <w:color w:val="5F5E5A"/>
          <w:sz w:val="22"/>
          <w:szCs w:val="22"/>
        </w:rPr>
        <w:t xml:space="preserve">  Mineral Maven mycorrhizal fungus (</w:t>
      </w:r>
      <w:proofErr w:type="spellStart"/>
      <w:r>
        <w:rPr>
          <w:rFonts w:ascii="Arial" w:eastAsia="Arial" w:hAnsi="Arial" w:cs="Arial"/>
          <w:color w:val="5F5E5A"/>
          <w:sz w:val="22"/>
          <w:szCs w:val="22"/>
        </w:rPr>
        <w:t>Rhizophagus</w:t>
      </w:r>
      <w:proofErr w:type="spellEnd"/>
      <w:r>
        <w:rPr>
          <w:rFonts w:ascii="Arial" w:eastAsia="Arial" w:hAnsi="Arial" w:cs="Arial"/>
          <w:color w:val="5F5E5A"/>
          <w:sz w:val="22"/>
          <w:szCs w:val="22"/>
        </w:rPr>
        <w:t xml:space="preserve"> irregularis) genetic specifications</w:t>
      </w:r>
    </w:p>
    <w:p w14:paraId="21485ACF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5F5E5A"/>
          <w:sz w:val="22"/>
          <w:szCs w:val="22"/>
        </w:rPr>
        <w:t xml:space="preserve">DPC-CAD-FAC-001   </w:t>
      </w:r>
      <w:proofErr w:type="gramStart"/>
      <w:r>
        <w:rPr>
          <w:rFonts w:ascii="Arial" w:eastAsia="Arial" w:hAnsi="Arial" w:cs="Arial"/>
          <w:color w:val="5F5E5A"/>
          <w:sz w:val="22"/>
          <w:szCs w:val="22"/>
        </w:rPr>
        <w:t>—  Facade</w:t>
      </w:r>
      <w:proofErr w:type="gramEnd"/>
      <w:r>
        <w:rPr>
          <w:rFonts w:ascii="Arial" w:eastAsia="Arial" w:hAnsi="Arial" w:cs="Arial"/>
          <w:color w:val="5F5E5A"/>
          <w:sz w:val="22"/>
          <w:szCs w:val="22"/>
        </w:rPr>
        <w:t xml:space="preserve"> drawing: leaning trunks, algae panel, moss gasket detail</w:t>
      </w:r>
    </w:p>
    <w:p w14:paraId="6FD086FF" w14:textId="77777777" w:rsidR="004169D5" w:rsidRDefault="00C30B9F">
      <w:pPr>
        <w:spacing w:before="60" w:after="60"/>
      </w:pPr>
      <w:r>
        <w:rPr>
          <w:rFonts w:ascii="Arial" w:eastAsia="Arial" w:hAnsi="Arial" w:cs="Arial"/>
          <w:color w:val="5F5E5A"/>
          <w:sz w:val="22"/>
          <w:szCs w:val="22"/>
        </w:rPr>
        <w:t>DPC-CAD-GANT-</w:t>
      </w:r>
      <w:proofErr w:type="gramStart"/>
      <w:r>
        <w:rPr>
          <w:rFonts w:ascii="Arial" w:eastAsia="Arial" w:hAnsi="Arial" w:cs="Arial"/>
          <w:color w:val="5F5E5A"/>
          <w:sz w:val="22"/>
          <w:szCs w:val="22"/>
        </w:rPr>
        <w:t>001  —</w:t>
      </w:r>
      <w:proofErr w:type="gramEnd"/>
      <w:r>
        <w:rPr>
          <w:rFonts w:ascii="Arial" w:eastAsia="Arial" w:hAnsi="Arial" w:cs="Arial"/>
          <w:color w:val="5F5E5A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5F5E5A"/>
          <w:sz w:val="22"/>
          <w:szCs w:val="22"/>
        </w:rPr>
        <w:t>BioStellar</w:t>
      </w:r>
      <w:proofErr w:type="spellEnd"/>
      <w:r>
        <w:rPr>
          <w:rFonts w:ascii="Arial" w:eastAsia="Arial" w:hAnsi="Arial" w:cs="Arial"/>
          <w:color w:val="5F5E5A"/>
          <w:sz w:val="22"/>
          <w:szCs w:val="22"/>
        </w:rPr>
        <w:t xml:space="preserve"> Morphogenesis Array v1.0 gantry specification</w:t>
      </w:r>
    </w:p>
    <w:sectPr w:rsidR="004169D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28E3C" w14:textId="77777777" w:rsidR="006F7849" w:rsidRDefault="006F7849">
      <w:r>
        <w:separator/>
      </w:r>
    </w:p>
  </w:endnote>
  <w:endnote w:type="continuationSeparator" w:id="0">
    <w:p w14:paraId="1C152159" w14:textId="77777777" w:rsidR="006F7849" w:rsidRDefault="006F7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7560" w14:textId="77777777" w:rsidR="004169D5" w:rsidRDefault="00C30B9F">
    <w:pPr>
      <w:pBdr>
        <w:top w:val="single" w:sz="4" w:space="1" w:color="2A5410"/>
      </w:pBdr>
      <w:spacing w:before="80"/>
    </w:pPr>
    <w:r>
      <w:rPr>
        <w:rFonts w:ascii="Arial" w:eastAsia="Arial" w:hAnsi="Arial" w:cs="Arial"/>
        <w:color w:val="888888"/>
        <w:sz w:val="16"/>
        <w:szCs w:val="16"/>
      </w:rPr>
      <w:t xml:space="preserve">Belinda Bailey, Founder &amp;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CEO  —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BioStellar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LLC  —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Duvall,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WA  —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USPTO Customer No.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224790  —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D86FC" w14:textId="77777777" w:rsidR="006F7849" w:rsidRDefault="006F7849">
      <w:r>
        <w:separator/>
      </w:r>
    </w:p>
  </w:footnote>
  <w:footnote w:type="continuationSeparator" w:id="0">
    <w:p w14:paraId="115C3CBD" w14:textId="77777777" w:rsidR="006F7849" w:rsidRDefault="006F7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782E5" w14:textId="77777777" w:rsidR="004169D5" w:rsidRDefault="00C30B9F">
    <w:pPr>
      <w:pBdr>
        <w:bottom w:val="single" w:sz="4" w:space="1" w:color="2A5410"/>
      </w:pBdr>
      <w:tabs>
        <w:tab w:val="right" w:pos="9026"/>
      </w:tabs>
    </w:pPr>
    <w:r>
      <w:rPr>
        <w:rFonts w:ascii="Arial" w:eastAsia="Arial" w:hAnsi="Arial" w:cs="Arial"/>
        <w:caps/>
        <w:color w:val="888888"/>
        <w:sz w:val="16"/>
        <w:szCs w:val="16"/>
      </w:rPr>
      <w:t xml:space="preserve">BIOSTELLAR </w:t>
    </w:r>
    <w:proofErr w:type="gramStart"/>
    <w:r>
      <w:rPr>
        <w:rFonts w:ascii="Arial" w:eastAsia="Arial" w:hAnsi="Arial" w:cs="Arial"/>
        <w:caps/>
        <w:color w:val="888888"/>
        <w:sz w:val="16"/>
        <w:szCs w:val="16"/>
      </w:rPr>
      <w:t>LLC  —</w:t>
    </w:r>
    <w:proofErr w:type="gramEnd"/>
    <w:r>
      <w:rPr>
        <w:rFonts w:ascii="Arial" w:eastAsia="Arial" w:hAnsi="Arial" w:cs="Arial"/>
        <w:caps/>
        <w:color w:val="888888"/>
        <w:sz w:val="16"/>
        <w:szCs w:val="16"/>
      </w:rPr>
      <w:t xml:space="preserve">  DRYADS PEARL </w:t>
    </w:r>
    <w:proofErr w:type="gramStart"/>
    <w:r>
      <w:rPr>
        <w:rFonts w:ascii="Arial" w:eastAsia="Arial" w:hAnsi="Arial" w:cs="Arial"/>
        <w:caps/>
        <w:color w:val="888888"/>
        <w:sz w:val="16"/>
        <w:szCs w:val="16"/>
      </w:rPr>
      <w:t>CATHEDRAL  —</w:t>
    </w:r>
    <w:proofErr w:type="gramEnd"/>
    <w:r>
      <w:rPr>
        <w:rFonts w:ascii="Arial" w:eastAsia="Arial" w:hAnsi="Arial" w:cs="Arial"/>
        <w:caps/>
        <w:color w:val="888888"/>
        <w:sz w:val="16"/>
        <w:szCs w:val="16"/>
      </w:rPr>
      <w:t xml:space="preserve">  GENETIC APPENDIX</w:t>
    </w:r>
    <w:r>
      <w:rPr>
        <w:sz w:val="16"/>
        <w:szCs w:val="16"/>
      </w:rPr>
      <w:tab/>
    </w:r>
    <w:proofErr w:type="gramStart"/>
    <w:r>
      <w:rPr>
        <w:rFonts w:ascii="Arial" w:eastAsia="Arial" w:hAnsi="Arial" w:cs="Arial"/>
        <w:caps/>
        <w:color w:val="888888"/>
        <w:sz w:val="16"/>
        <w:szCs w:val="16"/>
      </w:rPr>
      <w:t>CONFIDENTIAL  —</w:t>
    </w:r>
    <w:proofErr w:type="gramEnd"/>
    <w:r>
      <w:rPr>
        <w:rFonts w:ascii="Arial" w:eastAsia="Arial" w:hAnsi="Arial" w:cs="Arial"/>
        <w:caps/>
        <w:color w:val="888888"/>
        <w:sz w:val="16"/>
        <w:szCs w:val="16"/>
      </w:rPr>
      <w:t xml:space="preserve">  DPC-GEN-MOSS-001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610C5"/>
    <w:multiLevelType w:val="hybridMultilevel"/>
    <w:tmpl w:val="11A65E22"/>
    <w:lvl w:ilvl="0" w:tplc="9C3C3CF2">
      <w:start w:val="1"/>
      <w:numFmt w:val="bullet"/>
      <w:lvlText w:val="●"/>
      <w:lvlJc w:val="left"/>
      <w:pPr>
        <w:ind w:left="720" w:hanging="360"/>
      </w:pPr>
    </w:lvl>
    <w:lvl w:ilvl="1" w:tplc="92D8F732">
      <w:start w:val="1"/>
      <w:numFmt w:val="bullet"/>
      <w:lvlText w:val="○"/>
      <w:lvlJc w:val="left"/>
      <w:pPr>
        <w:ind w:left="1440" w:hanging="360"/>
      </w:pPr>
    </w:lvl>
    <w:lvl w:ilvl="2" w:tplc="C9E04036">
      <w:start w:val="1"/>
      <w:numFmt w:val="bullet"/>
      <w:lvlText w:val="■"/>
      <w:lvlJc w:val="left"/>
      <w:pPr>
        <w:ind w:left="2160" w:hanging="360"/>
      </w:pPr>
    </w:lvl>
    <w:lvl w:ilvl="3" w:tplc="C0CE13C4">
      <w:start w:val="1"/>
      <w:numFmt w:val="bullet"/>
      <w:lvlText w:val="●"/>
      <w:lvlJc w:val="left"/>
      <w:pPr>
        <w:ind w:left="2880" w:hanging="360"/>
      </w:pPr>
    </w:lvl>
    <w:lvl w:ilvl="4" w:tplc="B8FE5B3A">
      <w:start w:val="1"/>
      <w:numFmt w:val="bullet"/>
      <w:lvlText w:val="○"/>
      <w:lvlJc w:val="left"/>
      <w:pPr>
        <w:ind w:left="3600" w:hanging="360"/>
      </w:pPr>
    </w:lvl>
    <w:lvl w:ilvl="5" w:tplc="5CC21696">
      <w:start w:val="1"/>
      <w:numFmt w:val="bullet"/>
      <w:lvlText w:val="■"/>
      <w:lvlJc w:val="left"/>
      <w:pPr>
        <w:ind w:left="4320" w:hanging="360"/>
      </w:pPr>
    </w:lvl>
    <w:lvl w:ilvl="6" w:tplc="E740167C">
      <w:start w:val="1"/>
      <w:numFmt w:val="bullet"/>
      <w:lvlText w:val="●"/>
      <w:lvlJc w:val="left"/>
      <w:pPr>
        <w:ind w:left="5040" w:hanging="360"/>
      </w:pPr>
    </w:lvl>
    <w:lvl w:ilvl="7" w:tplc="FF04C986">
      <w:start w:val="1"/>
      <w:numFmt w:val="bullet"/>
      <w:lvlText w:val="●"/>
      <w:lvlJc w:val="left"/>
      <w:pPr>
        <w:ind w:left="5760" w:hanging="360"/>
      </w:pPr>
    </w:lvl>
    <w:lvl w:ilvl="8" w:tplc="CFCA1464">
      <w:start w:val="1"/>
      <w:numFmt w:val="bullet"/>
      <w:lvlText w:val="●"/>
      <w:lvlJc w:val="left"/>
      <w:pPr>
        <w:ind w:left="6480" w:hanging="360"/>
      </w:pPr>
    </w:lvl>
  </w:abstractNum>
  <w:num w:numId="1" w16cid:durableId="1931503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9D5"/>
    <w:rsid w:val="001E242A"/>
    <w:rsid w:val="004169D5"/>
    <w:rsid w:val="0044620B"/>
    <w:rsid w:val="006F1085"/>
    <w:rsid w:val="006F7849"/>
    <w:rsid w:val="00A056E0"/>
    <w:rsid w:val="00C3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711E"/>
  <w15:docId w15:val="{10BB8971-DFEC-488C-BB8C-4E4DD4579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1360</Words>
  <Characters>8725</Characters>
  <Application>Microsoft Office Word</Application>
  <DocSecurity>0</DocSecurity>
  <Lines>239</Lines>
  <Paragraphs>126</Paragraphs>
  <ScaleCrop>false</ScaleCrop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Belinda Bailey</cp:lastModifiedBy>
  <cp:revision>3</cp:revision>
  <dcterms:created xsi:type="dcterms:W3CDTF">2026-03-30T01:05:00Z</dcterms:created>
  <dcterms:modified xsi:type="dcterms:W3CDTF">2026-04-25T03:38:00Z</dcterms:modified>
</cp:coreProperties>
</file>