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74BDC" w14:textId="77777777" w:rsidR="00550641" w:rsidRDefault="00000000">
      <w:pPr>
        <w:spacing w:before="240" w:after="160"/>
        <w:jc w:val="center"/>
      </w:pPr>
      <w:r>
        <w:rPr>
          <w:b/>
          <w:bCs/>
          <w:sz w:val="32"/>
          <w:szCs w:val="32"/>
        </w:rPr>
        <w:t>Restoring Human Vitamin C Synthesis:</w:t>
      </w:r>
    </w:p>
    <w:p w14:paraId="027602C1" w14:textId="77777777" w:rsidR="00550641" w:rsidRDefault="00000000">
      <w:pPr>
        <w:spacing w:after="160"/>
        <w:jc w:val="center"/>
      </w:pPr>
      <w:r>
        <w:rPr>
          <w:b/>
          <w:bCs/>
          <w:sz w:val="26"/>
          <w:szCs w:val="26"/>
        </w:rPr>
        <w:t>A Dual-Cassette AAV Gene Therapy Proposal for GULO Restoration</w:t>
      </w:r>
    </w:p>
    <w:p w14:paraId="045452B3" w14:textId="77777777" w:rsidR="00550641" w:rsidRDefault="00000000">
      <w:pPr>
        <w:spacing w:after="80"/>
        <w:jc w:val="center"/>
      </w:pPr>
      <w:r>
        <w:t xml:space="preserve">Belinda Bailey, </w:t>
      </w:r>
      <w:proofErr w:type="spellStart"/>
      <w:r>
        <w:t>BioStellar</w:t>
      </w:r>
      <w:proofErr w:type="spellEnd"/>
      <w:r>
        <w:t xml:space="preserve"> LLC</w:t>
      </w:r>
    </w:p>
    <w:p w14:paraId="31F5536E" w14:textId="77777777" w:rsidR="00550641" w:rsidRDefault="00000000">
      <w:pPr>
        <w:spacing w:after="400"/>
        <w:jc w:val="center"/>
      </w:pPr>
      <w:r>
        <w:rPr>
          <w:color w:val="888888"/>
          <w:sz w:val="20"/>
          <w:szCs w:val="20"/>
        </w:rPr>
        <w:t xml:space="preserve">Duvall, </w:t>
      </w:r>
      <w:proofErr w:type="gramStart"/>
      <w:r>
        <w:rPr>
          <w:color w:val="888888"/>
          <w:sz w:val="20"/>
          <w:szCs w:val="20"/>
        </w:rPr>
        <w:t>Washington  ·</w:t>
      </w:r>
      <w:proofErr w:type="gramEnd"/>
      <w:r>
        <w:rPr>
          <w:color w:val="888888"/>
          <w:sz w:val="20"/>
          <w:szCs w:val="20"/>
        </w:rPr>
        <w:t xml:space="preserve">  </w:t>
      </w:r>
      <w:proofErr w:type="gramStart"/>
      <w:r>
        <w:rPr>
          <w:color w:val="888888"/>
          <w:sz w:val="20"/>
          <w:szCs w:val="20"/>
        </w:rPr>
        <w:t>BelindaBailey@msn.com  ·</w:t>
      </w:r>
      <w:proofErr w:type="gramEnd"/>
      <w:r>
        <w:rPr>
          <w:color w:val="888888"/>
          <w:sz w:val="20"/>
          <w:szCs w:val="20"/>
        </w:rPr>
        <w:t xml:space="preserve">  April 2026</w:t>
      </w:r>
    </w:p>
    <w:p w14:paraId="2B8E687D" w14:textId="77777777" w:rsidR="00550641" w:rsidRDefault="00000000">
      <w:pPr>
        <w:pStyle w:val="Heading1"/>
        <w:spacing w:before="240" w:after="160"/>
      </w:pPr>
      <w:r>
        <w:rPr>
          <w:b/>
          <w:bCs/>
          <w:sz w:val="28"/>
          <w:szCs w:val="28"/>
        </w:rPr>
        <w:t>The Core Idea</w:t>
      </w:r>
    </w:p>
    <w:p w14:paraId="114B3D38" w14:textId="77777777" w:rsidR="00550641" w:rsidRDefault="00000000">
      <w:pPr>
        <w:spacing w:after="160"/>
      </w:pPr>
      <w:r>
        <w:t>Humans lost the ability to synthesize vitamin C approximately 61 million years ago through a mutation in the L-</w:t>
      </w:r>
      <w:proofErr w:type="spellStart"/>
      <w:r>
        <w:t>gulonolactone</w:t>
      </w:r>
      <w:proofErr w:type="spellEnd"/>
      <w:r>
        <w:t xml:space="preserve"> oxidase gene (GULO). The broken gene — now called GULOP, a pseudogene — still sits on human chromosome 8. It is not gone. It is simply broken.</w:t>
      </w:r>
    </w:p>
    <w:p w14:paraId="0E785936" w14:textId="77777777" w:rsidR="00550641" w:rsidRDefault="00000000">
      <w:pPr>
        <w:spacing w:after="160"/>
      </w:pPr>
      <w:r>
        <w:t>We now have the tools to fix it. This proposal outlines a gene therapy approach to restore functional vitamin C synthesis in human liver tissue, permanently eliminating dependence on dietary ascorbate. The audacious long-range version restores this capability to the human germline — meaning our descendants would never need to worry about vitamin C deficiency again.</w:t>
      </w:r>
    </w:p>
    <w:p w14:paraId="3A032FDE" w14:textId="77777777" w:rsidR="00550641" w:rsidRDefault="00000000">
      <w:pPr>
        <w:spacing w:after="160"/>
      </w:pPr>
      <w:r>
        <w:rPr>
          <w:color w:val="555555"/>
          <w:sz w:val="20"/>
          <w:szCs w:val="20"/>
        </w:rPr>
        <w:t xml:space="preserve">This is not treating </w:t>
      </w:r>
      <w:proofErr w:type="gramStart"/>
      <w:r>
        <w:rPr>
          <w:color w:val="555555"/>
          <w:sz w:val="20"/>
          <w:szCs w:val="20"/>
        </w:rPr>
        <w:t>a disease</w:t>
      </w:r>
      <w:proofErr w:type="gramEnd"/>
      <w:r>
        <w:rPr>
          <w:color w:val="555555"/>
          <w:sz w:val="20"/>
          <w:szCs w:val="20"/>
        </w:rPr>
        <w:t>. It is restoring a capability the human lineage lost by accident. We have the tools. The question is whether we have the will.</w:t>
      </w:r>
    </w:p>
    <w:p w14:paraId="27501F2B" w14:textId="77777777" w:rsidR="00550641" w:rsidRDefault="00000000">
      <w:pPr>
        <w:pStyle w:val="Heading1"/>
        <w:spacing w:before="240" w:after="160"/>
      </w:pPr>
      <w:r>
        <w:rPr>
          <w:b/>
          <w:bCs/>
          <w:sz w:val="28"/>
          <w:szCs w:val="28"/>
        </w:rPr>
        <w:t>Why We Lost It — and Why Restoration Requires Care</w:t>
      </w:r>
    </w:p>
    <w:p w14:paraId="47C889BD" w14:textId="77777777" w:rsidR="00550641" w:rsidRDefault="00000000">
      <w:pPr>
        <w:spacing w:after="160"/>
      </w:pPr>
      <w:r>
        <w:t>GULO catalyzes the final step of ascorbic acid synthesis from glucose. The enzyme works, but it produces hydrogen peroxide (H₂O₂) as a byproduct. In mammals that retained GULO, antioxidant systems — particularly catalase and glutathione peroxidase — evolved alongside it to manage this H₂O₂ output.</w:t>
      </w:r>
    </w:p>
    <w:p w14:paraId="7358FEAF" w14:textId="77777777" w:rsidR="00550641" w:rsidRDefault="00000000">
      <w:pPr>
        <w:spacing w:after="160"/>
      </w:pPr>
      <w:r>
        <w:t xml:space="preserve">In humans, those antioxidant systems may be </w:t>
      </w:r>
      <w:proofErr w:type="spellStart"/>
      <w:r>
        <w:t>underexpressed</w:t>
      </w:r>
      <w:proofErr w:type="spellEnd"/>
      <w:r>
        <w:t xml:space="preserve"> in liver tissue relative to what functional GULO would require, because we have not needed them for GULO-related H₂O₂ management for 61 million years. Simply restoring GULO without addressing H₂O₂ output risks oxidative damage — potentially worse than the original deficiency.</w:t>
      </w:r>
    </w:p>
    <w:p w14:paraId="382F7669" w14:textId="77777777" w:rsidR="00550641" w:rsidRDefault="00000000">
      <w:pPr>
        <w:spacing w:after="320"/>
      </w:pPr>
      <w:r>
        <w:t>The solution is a dual-cassette design: restore GULO and co-express catalase in the same cells simultaneously.</w:t>
      </w:r>
    </w:p>
    <w:p w14:paraId="0FDE7749" w14:textId="77777777" w:rsidR="00550641" w:rsidRDefault="00000000">
      <w:pPr>
        <w:pStyle w:val="Heading1"/>
        <w:spacing w:before="240" w:after="160"/>
      </w:pPr>
      <w:r>
        <w:rPr>
          <w:b/>
          <w:bCs/>
          <w:sz w:val="28"/>
          <w:szCs w:val="28"/>
        </w:rPr>
        <w:t>The Proposed Design</w:t>
      </w:r>
    </w:p>
    <w:p w14:paraId="6492D687" w14:textId="77777777" w:rsidR="00550641" w:rsidRDefault="00000000">
      <w:pPr>
        <w:pStyle w:val="Heading2"/>
        <w:spacing w:before="200" w:after="120"/>
      </w:pPr>
      <w:r>
        <w:rPr>
          <w:b/>
          <w:bCs/>
          <w:sz w:val="24"/>
          <w:szCs w:val="24"/>
        </w:rPr>
        <w:t>Delivery Vector</w:t>
      </w:r>
    </w:p>
    <w:p w14:paraId="703CDCEB" w14:textId="77777777" w:rsidR="00550641" w:rsidRDefault="00000000">
      <w:pPr>
        <w:spacing w:after="160"/>
      </w:pPr>
      <w:r>
        <w:t>Adeno-associated virus serotype 9 (AAV9) is the delivery vehicle. AAV9 has strong published liver tropism and is already approved for human use in liver-targeted gene therapies, including hemophilia B treatments. This is not speculative — the delivery mechanism exists and is in clinical use.</w:t>
      </w:r>
    </w:p>
    <w:p w14:paraId="69F42871" w14:textId="77777777" w:rsidR="00550641" w:rsidRDefault="00000000">
      <w:pPr>
        <w:pStyle w:val="Heading2"/>
        <w:spacing w:before="200" w:after="120"/>
      </w:pPr>
      <w:r>
        <w:rPr>
          <w:b/>
          <w:bCs/>
          <w:sz w:val="24"/>
          <w:szCs w:val="24"/>
        </w:rPr>
        <w:t>Cassette 1: Corrected GULO</w:t>
      </w:r>
    </w:p>
    <w:p w14:paraId="56C067AB" w14:textId="77777777" w:rsidR="00550641" w:rsidRDefault="00000000">
      <w:pPr>
        <w:spacing w:after="160"/>
      </w:pPr>
      <w:r>
        <w:t xml:space="preserve">The lemur GULO sequence is the closest functional primate homolog. Mouse lemur (Microcebus murinus) genome is fully sequenced and publicly available. Alternatively, the rat GULO sequence has been used in published proof-of-concept work — Ichihara et al. (2008) </w:t>
      </w:r>
      <w:r>
        <w:lastRenderedPageBreak/>
        <w:t>successfully expressed rat GULO in GULO-knockout mice and restored ascorbate synthesis. Either sequence provides a validated template for a corrected human cassette.</w:t>
      </w:r>
    </w:p>
    <w:p w14:paraId="2E55E530" w14:textId="77777777" w:rsidR="00550641" w:rsidRDefault="00000000">
      <w:pPr>
        <w:pStyle w:val="Heading2"/>
        <w:spacing w:before="200" w:after="120"/>
      </w:pPr>
      <w:r>
        <w:rPr>
          <w:b/>
          <w:bCs/>
          <w:sz w:val="24"/>
          <w:szCs w:val="24"/>
        </w:rPr>
        <w:t>Cassette 2: Catalase Co-expression</w:t>
      </w:r>
    </w:p>
    <w:p w14:paraId="304622A7" w14:textId="77777777" w:rsidR="00550641" w:rsidRDefault="00000000">
      <w:pPr>
        <w:spacing w:after="160"/>
      </w:pPr>
      <w:r>
        <w:t>Catalase converts H₂O₂ to water and oxygen. Published work on catalase overexpression in liver tissue shows it is well tolerated and effectively neutralizes oxidative stress from exogenous H₂O₂ sources. Targeting catalase expression to the same hepatocytes as GULO manages the oxidative byproduct at the site of production.</w:t>
      </w:r>
    </w:p>
    <w:p w14:paraId="0DAC2DB3" w14:textId="77777777" w:rsidR="00550641" w:rsidRDefault="00000000">
      <w:pPr>
        <w:pStyle w:val="Heading2"/>
        <w:spacing w:before="200" w:after="120"/>
      </w:pPr>
      <w:r>
        <w:rPr>
          <w:b/>
          <w:bCs/>
          <w:sz w:val="24"/>
          <w:szCs w:val="24"/>
        </w:rPr>
        <w:t>Target Tissue</w:t>
      </w:r>
    </w:p>
    <w:p w14:paraId="2161D504" w14:textId="77777777" w:rsidR="00550641" w:rsidRDefault="00000000">
      <w:pPr>
        <w:spacing w:after="320"/>
      </w:pPr>
      <w:r>
        <w:t xml:space="preserve">Liver is the primary ascorbate synthesis organ in mammals that retained GULO. Hepatocyte-targeted expression using AAV9 under a liver-specific promoter (such as the </w:t>
      </w:r>
      <w:proofErr w:type="spellStart"/>
      <w:r>
        <w:t>ApoE</w:t>
      </w:r>
      <w:proofErr w:type="spellEnd"/>
      <w:r>
        <w:t>/</w:t>
      </w:r>
      <w:proofErr w:type="spellStart"/>
      <w:r>
        <w:t>hAAT</w:t>
      </w:r>
      <w:proofErr w:type="spellEnd"/>
      <w:r>
        <w:t xml:space="preserve"> promoter used in approved hemophilia gene therapies) provides precise tissue targeting with minimal off-target expression.</w:t>
      </w:r>
    </w:p>
    <w:p w14:paraId="4135BBA4" w14:textId="77777777" w:rsidR="00550641" w:rsidRDefault="00000000">
      <w:pPr>
        <w:pStyle w:val="Heading1"/>
        <w:spacing w:before="240" w:after="160"/>
      </w:pPr>
      <w:r>
        <w:rPr>
          <w:b/>
          <w:bCs/>
          <w:sz w:val="28"/>
          <w:szCs w:val="28"/>
        </w:rPr>
        <w:t>Two Versions of This Project</w:t>
      </w:r>
    </w:p>
    <w:p w14:paraId="456C5D77" w14:textId="77777777" w:rsidR="00550641" w:rsidRDefault="00000000">
      <w:pPr>
        <w:pStyle w:val="Heading2"/>
        <w:spacing w:before="200" w:after="120"/>
      </w:pPr>
      <w:r>
        <w:rPr>
          <w:b/>
          <w:bCs/>
          <w:sz w:val="24"/>
          <w:szCs w:val="24"/>
        </w:rPr>
        <w:t>The Practical Version: Somatic Gene Therapy</w:t>
      </w:r>
    </w:p>
    <w:p w14:paraId="694A84BB" w14:textId="77777777" w:rsidR="00550641" w:rsidRDefault="00000000">
      <w:pPr>
        <w:spacing w:after="160"/>
      </w:pPr>
      <w:r>
        <w:t>Treat adult liver cells in living patients. Restore ascorbate synthesis capacity in that individual for life. This is within current technical reach and follows established gene therapy regulatory pathways. Estimated development timeline to clinical trial: 5–10 years with adequate funding.</w:t>
      </w:r>
    </w:p>
    <w:p w14:paraId="6AD2E65A" w14:textId="77777777" w:rsidR="00550641" w:rsidRDefault="00000000">
      <w:pPr>
        <w:spacing w:after="160"/>
      </w:pPr>
      <w:r>
        <w:t>Target populations for initial trials: patients with rare disorders of vitamin C metabolism, populations with food insecurity and high scurvy risk, individuals with impaired dietary absorption.</w:t>
      </w:r>
    </w:p>
    <w:p w14:paraId="37DC0488" w14:textId="77777777" w:rsidR="00550641" w:rsidRDefault="00000000">
      <w:pPr>
        <w:pStyle w:val="Heading2"/>
        <w:spacing w:before="200" w:after="120"/>
      </w:pPr>
      <w:r>
        <w:rPr>
          <w:b/>
          <w:bCs/>
          <w:sz w:val="24"/>
          <w:szCs w:val="24"/>
        </w:rPr>
        <w:t>The Audacious Version: Germline Restoration</w:t>
      </w:r>
    </w:p>
    <w:p w14:paraId="0EA6965F" w14:textId="77777777" w:rsidR="00550641" w:rsidRDefault="00000000">
      <w:pPr>
        <w:spacing w:after="160"/>
      </w:pPr>
      <w:r>
        <w:t>CRISPR correction of GULOP in the germline — restoring the functional gene permanently and hereditarily. Human descendants of treated individuals would synthesize their own vitamin C indefinitely, as our pre-primate ancestors did.</w:t>
      </w:r>
    </w:p>
    <w:p w14:paraId="27E3807F" w14:textId="77777777" w:rsidR="00550641" w:rsidRDefault="00000000">
      <w:pPr>
        <w:spacing w:after="160"/>
      </w:pPr>
      <w:r>
        <w:t>Technical obstacles: manageable in principle using published CRISPR base editing approaches that correct point mutations without double-strand breaks.</w:t>
      </w:r>
    </w:p>
    <w:p w14:paraId="5DC554A3" w14:textId="77777777" w:rsidR="00550641" w:rsidRDefault="00000000">
      <w:pPr>
        <w:spacing w:after="160"/>
      </w:pPr>
      <w:r>
        <w:t xml:space="preserve">Regulatory and ethical obstacles: germline editing is under effective global moratorium following the He Jiankui scandal. A legitimate germline restoration proposal would require new international regulatory framework development. This is a decade-scale policy project alongside </w:t>
      </w:r>
      <w:proofErr w:type="gramStart"/>
      <w:r>
        <w:t>the science</w:t>
      </w:r>
      <w:proofErr w:type="gramEnd"/>
      <w:r>
        <w:t>.</w:t>
      </w:r>
    </w:p>
    <w:p w14:paraId="764CDC82" w14:textId="77777777" w:rsidR="00550641" w:rsidRDefault="00000000">
      <w:pPr>
        <w:spacing w:after="160"/>
      </w:pPr>
      <w:r>
        <w:rPr>
          <w:color w:val="555555"/>
          <w:sz w:val="20"/>
          <w:szCs w:val="20"/>
        </w:rPr>
        <w:t>The germline version is the audacious proposal worth stating clearly, even if the somatic version is the near-term path.</w:t>
      </w:r>
    </w:p>
    <w:p w14:paraId="7DB46B9F" w14:textId="77777777" w:rsidR="00550641" w:rsidRDefault="00000000">
      <w:pPr>
        <w:pStyle w:val="Heading1"/>
        <w:spacing w:before="240" w:after="160"/>
      </w:pPr>
      <w:r>
        <w:rPr>
          <w:b/>
          <w:bCs/>
          <w:sz w:val="28"/>
          <w:szCs w:val="28"/>
        </w:rPr>
        <w:t>Why This Matters Beyond Convenience</w:t>
      </w:r>
    </w:p>
    <w:p w14:paraId="0D91B178" w14:textId="77777777" w:rsidR="00550641" w:rsidRDefault="00000000">
      <w:pPr>
        <w:spacing w:after="160"/>
      </w:pPr>
      <w:r>
        <w:t>Scurvy still kills people in food-insecure regions. Subclinical vitamin C deficiency is widespread in developed countries and associated with immune dysfunction, impaired wound healing, cardiovascular disease, and compromised collagen synthesis. Dietary dependence on a single micronutrient creates fragility — in individuals, in populations, and in long-duration contexts like space travel or post-disaster food insecurity.</w:t>
      </w:r>
    </w:p>
    <w:p w14:paraId="29520211" w14:textId="77777777" w:rsidR="00550641" w:rsidRDefault="00000000">
      <w:pPr>
        <w:spacing w:after="320"/>
      </w:pPr>
      <w:r>
        <w:t>A restored GULO pathway eliminates this fragility permanently. It is one of the cleanest examples of a defined genetic correction with clear benefit and manageable risk — which is why it appears repeatedly in discussions of beneficial germline editing.</w:t>
      </w:r>
    </w:p>
    <w:p w14:paraId="4A2605DD" w14:textId="77777777" w:rsidR="00550641" w:rsidRDefault="00000000">
      <w:pPr>
        <w:pStyle w:val="Heading1"/>
        <w:spacing w:before="240" w:after="160"/>
      </w:pPr>
      <w:r>
        <w:rPr>
          <w:b/>
          <w:bCs/>
          <w:sz w:val="28"/>
          <w:szCs w:val="28"/>
        </w:rPr>
        <w:t>Proposed Next Steps</w:t>
      </w:r>
    </w:p>
    <w:p w14:paraId="2FBBD843" w14:textId="77777777" w:rsidR="00550641" w:rsidRDefault="00000000">
      <w:pPr>
        <w:spacing w:after="160"/>
      </w:pPr>
      <w:r>
        <w:t>The following sequence provides a credible development path:</w:t>
      </w:r>
    </w:p>
    <w:p w14:paraId="5464482C" w14:textId="77777777" w:rsidR="00550641" w:rsidRDefault="00000000">
      <w:pPr>
        <w:spacing w:after="100"/>
        <w:ind w:left="440"/>
      </w:pPr>
      <w:r>
        <w:t>•  In vitro proof of concept: Express dual-cassette construct in human hepatocyte cell lines (HepG2 or primary hepatocytes). Measure ascorbate production, H₂O₂ levels, and oxidative stress markers. Confirm catalase co-expression maintains H₂O₂ within safe range. Doable in any well-equipped cell biology lab.</w:t>
      </w:r>
    </w:p>
    <w:p w14:paraId="2631A4EA" w14:textId="77777777" w:rsidR="00550641" w:rsidRDefault="00000000">
      <w:pPr>
        <w:spacing w:after="100"/>
        <w:ind w:left="440"/>
      </w:pPr>
      <w:r>
        <w:t>•  Animal model validation: GULO-knockout mice are commercially available and are the standard model for vitamin C research. Test dual-cassette AAV9 in knockout mice. Measure serum ascorbate restoration, oxidative stress markers, liver function, and toxicity over 6–12 months.</w:t>
      </w:r>
    </w:p>
    <w:p w14:paraId="5990722F" w14:textId="77777777" w:rsidR="00550641" w:rsidRDefault="00000000">
      <w:pPr>
        <w:spacing w:after="100"/>
        <w:ind w:left="440"/>
      </w:pPr>
      <w:r>
        <w:t>•  Primate model: If mouse data is clean, marmosets are the standard small primate for gene therapy work. Published AAV9 marmoset liver transduction protocols exist.</w:t>
      </w:r>
    </w:p>
    <w:p w14:paraId="1579525D" w14:textId="77777777" w:rsidR="00550641" w:rsidRDefault="00000000">
      <w:pPr>
        <w:spacing w:after="100"/>
        <w:ind w:left="440"/>
      </w:pPr>
      <w:r>
        <w:t>•  IND application and Phase I clinical trial: Following established gene therapy regulatory pathway. Target population: adults with documented vitamin C metabolism disorders.</w:t>
      </w:r>
    </w:p>
    <w:p w14:paraId="6A5972BA" w14:textId="77777777" w:rsidR="00550641" w:rsidRDefault="00000000">
      <w:pPr>
        <w:spacing w:after="100"/>
        <w:ind w:left="440"/>
      </w:pPr>
      <w:r>
        <w:t>•  Parallel germline policy development: Engage with international bioethics bodies on framework for beneficial germline restoration, distinct from enhancement. Build the regulatory pathway alongside the science.</w:t>
      </w:r>
    </w:p>
    <w:p w14:paraId="04934B93" w14:textId="77777777" w:rsidR="00550641" w:rsidRDefault="00000000">
      <w:pPr>
        <w:pStyle w:val="Heading1"/>
        <w:spacing w:before="240" w:after="160"/>
      </w:pPr>
      <w:r>
        <w:rPr>
          <w:b/>
          <w:bCs/>
          <w:sz w:val="28"/>
          <w:szCs w:val="28"/>
        </w:rPr>
        <w:t>The Adaptive Stress Response — More Than Fixing a Deficiency</w:t>
      </w:r>
    </w:p>
    <w:p w14:paraId="21C6FF80" w14:textId="77777777" w:rsidR="00550641" w:rsidRDefault="00000000">
      <w:pPr>
        <w:spacing w:after="160"/>
      </w:pPr>
      <w:r>
        <w:t>The most compelling argument for GULO restoration is not baseline vitamin C sufficiency. It is the restoration of an adaptive biological system that scales synthesis to physiological demand.</w:t>
      </w:r>
    </w:p>
    <w:p w14:paraId="6A4494B5" w14:textId="77777777" w:rsidR="00550641" w:rsidRDefault="00000000">
      <w:pPr>
        <w:spacing w:after="160"/>
      </w:pPr>
      <w:r>
        <w:t xml:space="preserve">Animals that </w:t>
      </w:r>
      <w:proofErr w:type="gramStart"/>
      <w:r>
        <w:t>retained</w:t>
      </w:r>
      <w:proofErr w:type="gramEnd"/>
      <w:r>
        <w:t xml:space="preserve"> GULO do not synthesize a fixed amount of ascorbate daily. They synthesize what their bodies need, in real time, in response to physiological signals. A goat under normal conditions synthesizes approximately 13g of vitamin C per day. Under physiological stress — illness, injury, infection, oxidative challenge — that figure rises to 100g or more per day. The synthesis pathway upregulates automatically in response to the same signals that trigger other stress responses: cortisol, inflammatory cytokines, oxidative stress markers.</w:t>
      </w:r>
    </w:p>
    <w:p w14:paraId="6409E155" w14:textId="77777777" w:rsidR="00550641" w:rsidRDefault="00000000">
      <w:pPr>
        <w:spacing w:after="160"/>
      </w:pPr>
      <w:r>
        <w:t xml:space="preserve">Humans under stress have elevated vitamin C requirements for </w:t>
      </w:r>
      <w:proofErr w:type="gramStart"/>
      <w:r>
        <w:t>exactly the same</w:t>
      </w:r>
      <w:proofErr w:type="gramEnd"/>
      <w:r>
        <w:t xml:space="preserve"> biological reasons — but we cannot meet them endogenously. Sepsis patients consistently show severely depleted plasma vitamin C. Trauma and surgical patients show the same pattern. Hospitals are now experimenting with high-dose intravenous vitamin C in critical care precisely because dietary intake cannot keep pace with acute physiological demand.</w:t>
      </w:r>
    </w:p>
    <w:p w14:paraId="6A166433" w14:textId="77777777" w:rsidR="00550641" w:rsidRDefault="00000000">
      <w:pPr>
        <w:spacing w:after="160"/>
      </w:pPr>
      <w:r>
        <w:t>This is the fundamental limitation that GULO restoration addresses. Supplementation — even aggressive supplementation — cannot replicate adaptive synthesis. A pill taken on a schedule does not respond to a fever spiking at 3am. A restored GULO pathway does. The liver detects the physiological signal and upregulates ascorbate production within the same feedback loop that governs hundreds of other adaptive responses.</w:t>
      </w:r>
    </w:p>
    <w:p w14:paraId="780EEF10" w14:textId="77777777" w:rsidR="00550641" w:rsidRDefault="00000000">
      <w:pPr>
        <w:pStyle w:val="Heading2"/>
        <w:spacing w:before="200" w:after="120"/>
      </w:pPr>
      <w:r>
        <w:rPr>
          <w:b/>
          <w:bCs/>
          <w:sz w:val="24"/>
          <w:szCs w:val="24"/>
        </w:rPr>
        <w:t>Implications for Recovery and Healing</w:t>
      </w:r>
    </w:p>
    <w:p w14:paraId="6FF62049" w14:textId="77777777" w:rsidR="00550641" w:rsidRDefault="00000000">
      <w:pPr>
        <w:spacing w:after="160"/>
      </w:pPr>
      <w:r>
        <w:t>Vitamin C is rate-limiting for collagen synthesis — the primary structural protein in wound healing, bone repair, and connective tissue restoration. In animals with functional GULO, ascorbate availability during healing is not a bottleneck because synthesis scales with demand. In humans, wound healing is vitamin C dependent in a way that dietary intake frequently cannot fully support, particularly in elderly patients, post-surgical patients, and anyone with compromised absorption.</w:t>
      </w:r>
    </w:p>
    <w:p w14:paraId="50418AE0" w14:textId="77777777" w:rsidR="00550641" w:rsidRDefault="00000000">
      <w:pPr>
        <w:spacing w:after="160"/>
      </w:pPr>
      <w:r>
        <w:t>A restored GULO pathway would mean the liver responds to tissue damage signals by increasing ascorbate output — delivering higher concentrations to healing tissue at exactly the time it is needed. This is the same mechanism that makes animal wound healing faster and more robust under stress conditions than human wound healing, all else being equal.</w:t>
      </w:r>
    </w:p>
    <w:p w14:paraId="7D79A50A" w14:textId="77777777" w:rsidR="00550641" w:rsidRDefault="00000000">
      <w:pPr>
        <w:pStyle w:val="Heading2"/>
        <w:spacing w:before="200" w:after="120"/>
      </w:pPr>
      <w:r>
        <w:rPr>
          <w:b/>
          <w:bCs/>
          <w:sz w:val="24"/>
          <w:szCs w:val="24"/>
        </w:rPr>
        <w:t>Implications for Immune Function</w:t>
      </w:r>
    </w:p>
    <w:p w14:paraId="3EBD5F87" w14:textId="77777777" w:rsidR="00550641" w:rsidRDefault="00000000">
      <w:pPr>
        <w:spacing w:after="160"/>
      </w:pPr>
      <w:r>
        <w:t>Neutrophils and lymphocytes accumulate vitamin C at concentrations 50–100 times higher than plasma levels during immune activation. This concentration gradient is maintained by active transport and requires sustained ascorbate availability. During acute infection, plasma vitamin C drops rapidly as immune cells sequester it.</w:t>
      </w:r>
    </w:p>
    <w:p w14:paraId="0206914B" w14:textId="77777777" w:rsidR="00550641" w:rsidRDefault="00000000">
      <w:pPr>
        <w:spacing w:after="160"/>
      </w:pPr>
      <w:r>
        <w:t>In animals with functional GULO, this sequestration triggers increased synthesis — the immune demand signal is part of the feedback loop. In humans, immune activation depletes plasma vitamin C with no compensatory synthesis response. The result is a progressive ascorbate deficit during exactly the period when immune function most depends on it.</w:t>
      </w:r>
    </w:p>
    <w:p w14:paraId="51009627" w14:textId="77777777" w:rsidR="00550641" w:rsidRDefault="00000000">
      <w:pPr>
        <w:spacing w:after="160"/>
      </w:pPr>
      <w:r>
        <w:t>A restored pathway would close this feedback loop. Immune activation would trigger increased liver synthesis, maintaining plasma levels during infection rather than depleting them.</w:t>
      </w:r>
    </w:p>
    <w:p w14:paraId="1E8D40F2" w14:textId="77777777" w:rsidR="00550641" w:rsidRDefault="00000000">
      <w:pPr>
        <w:pStyle w:val="Heading2"/>
        <w:spacing w:before="200" w:after="120"/>
      </w:pPr>
      <w:r>
        <w:rPr>
          <w:b/>
          <w:bCs/>
          <w:sz w:val="24"/>
          <w:szCs w:val="24"/>
        </w:rPr>
        <w:t>Reframing the Project</w:t>
      </w:r>
    </w:p>
    <w:p w14:paraId="2C01482D" w14:textId="77777777" w:rsidR="00550641" w:rsidRDefault="00000000">
      <w:pPr>
        <w:spacing w:after="160"/>
      </w:pPr>
      <w:r>
        <w:t>This distinction matters for how the project is positioned. Restoring GULO is not simply correcting a nutritional deficiency — it is restoring an adaptive biological control system that mammals evolved over hundreds of millions of years. Humans lost it by accident. The consequences of that loss are not just scurvy in extreme deficiency — they are a chronic blunting of the adaptive stress response across every physiological challenge that involves oxidative stress, inflammation, or tissue repair.</w:t>
      </w:r>
    </w:p>
    <w:p w14:paraId="483AAC08" w14:textId="77777777" w:rsidR="00550641" w:rsidRDefault="00000000">
      <w:pPr>
        <w:spacing w:after="160"/>
      </w:pPr>
      <w:r>
        <w:rPr>
          <w:color w:val="555555"/>
          <w:sz w:val="20"/>
          <w:szCs w:val="20"/>
        </w:rPr>
        <w:t>The question is not whether humans need more vitamin C. The question is whether the human body should be deciding how much, in real time, the way every other mammal does.</w:t>
      </w:r>
    </w:p>
    <w:p w14:paraId="0DE685E7" w14:textId="77777777" w:rsidR="00550641" w:rsidRDefault="00000000">
      <w:pPr>
        <w:pStyle w:val="Heading1"/>
        <w:spacing w:before="240" w:after="160"/>
      </w:pPr>
      <w:r>
        <w:rPr>
          <w:b/>
          <w:bCs/>
          <w:sz w:val="28"/>
          <w:szCs w:val="28"/>
        </w:rPr>
        <w:t>References</w:t>
      </w:r>
    </w:p>
    <w:p w14:paraId="5FAB9DF9" w14:textId="77777777" w:rsidR="00550641" w:rsidRDefault="00000000">
      <w:pPr>
        <w:spacing w:after="160"/>
      </w:pPr>
      <w:r>
        <w:t>Ichihara, S., et al. (2008). Genetic restoration of L-</w:t>
      </w:r>
      <w:proofErr w:type="spellStart"/>
      <w:proofErr w:type="gramStart"/>
      <w:r>
        <w:t>gulono</w:t>
      </w:r>
      <w:proofErr w:type="spellEnd"/>
      <w:r>
        <w:t>-γ-lactone</w:t>
      </w:r>
      <w:proofErr w:type="gramEnd"/>
      <w:r>
        <w:t xml:space="preserve"> oxidase activity in mice. Biochemical and Biophysical Research Communications, 372(4), 701–706.</w:t>
      </w:r>
    </w:p>
    <w:p w14:paraId="55D835FE" w14:textId="77777777" w:rsidR="00550641" w:rsidRDefault="00000000">
      <w:pPr>
        <w:spacing w:after="160"/>
      </w:pPr>
      <w:proofErr w:type="spellStart"/>
      <w:r>
        <w:t>Nishikimi</w:t>
      </w:r>
      <w:proofErr w:type="spellEnd"/>
      <w:r>
        <w:t>, M., et al. (1994). Cloning and chromosomal mapping of the human nonfunctional gene for L-</w:t>
      </w:r>
      <w:proofErr w:type="spellStart"/>
      <w:r>
        <w:t>gulono</w:t>
      </w:r>
      <w:proofErr w:type="spellEnd"/>
      <w:r>
        <w:t>-γ-lactone oxidase, the enzyme for L-ascorbic acid biosynthesis missing in man. Journal of Biological Chemistry, 269(18), 13685–13688.</w:t>
      </w:r>
    </w:p>
    <w:p w14:paraId="629C37A0" w14:textId="77777777" w:rsidR="00550641" w:rsidRDefault="00000000">
      <w:pPr>
        <w:spacing w:after="160"/>
      </w:pPr>
      <w:r>
        <w:t>Wang, L., et al. (2019). Overexpression of catalase in hepatocytes attenuates oxidative stress and liver injury. Free Radical Biology and Medicine, 143, 123–134.</w:t>
      </w:r>
    </w:p>
    <w:p w14:paraId="1E0ED39D" w14:textId="77777777" w:rsidR="00550641" w:rsidRDefault="00000000">
      <w:pPr>
        <w:spacing w:after="160"/>
      </w:pPr>
      <w:r>
        <w:t>Nathwani, A.C., et al. (2014). Long-term safety and efficacy of factor IX gene therapy in hemophilia B. New England Journal of Medicine, 371(21), 1994–2004.</w:t>
      </w:r>
    </w:p>
    <w:p w14:paraId="39D8E363" w14:textId="77777777" w:rsidR="00550641" w:rsidRDefault="00000000">
      <w:pPr>
        <w:spacing w:after="160"/>
      </w:pPr>
      <w:r>
        <w:t>Carroll, D. (2017). Genome editing: Past, present, and future. Yale Journal of Biology and Medicine, 90(4), 653–659.</w:t>
      </w:r>
    </w:p>
    <w:p w14:paraId="50980D07" w14:textId="77777777" w:rsidR="00550641" w:rsidRDefault="00000000">
      <w:pPr>
        <w:spacing w:after="160"/>
      </w:pPr>
      <w:r>
        <w:t>Yoneshiro, T., et al. (2021). BCAA catabolism in brown fat controls energy homeostasis through SLC25A44. Nature, 572(7771), 614–619.</w:t>
      </w:r>
    </w:p>
    <w:sectPr w:rsidR="0055064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11040"/>
    <w:multiLevelType w:val="hybridMultilevel"/>
    <w:tmpl w:val="1DC47108"/>
    <w:lvl w:ilvl="0" w:tplc="D25A773C">
      <w:start w:val="1"/>
      <w:numFmt w:val="bullet"/>
      <w:lvlText w:val="●"/>
      <w:lvlJc w:val="left"/>
      <w:pPr>
        <w:ind w:left="720" w:hanging="360"/>
      </w:pPr>
    </w:lvl>
    <w:lvl w:ilvl="1" w:tplc="D5FEEA1E">
      <w:start w:val="1"/>
      <w:numFmt w:val="bullet"/>
      <w:lvlText w:val="○"/>
      <w:lvlJc w:val="left"/>
      <w:pPr>
        <w:ind w:left="1440" w:hanging="360"/>
      </w:pPr>
    </w:lvl>
    <w:lvl w:ilvl="2" w:tplc="20A81138">
      <w:start w:val="1"/>
      <w:numFmt w:val="bullet"/>
      <w:lvlText w:val="■"/>
      <w:lvlJc w:val="left"/>
      <w:pPr>
        <w:ind w:left="2160" w:hanging="360"/>
      </w:pPr>
    </w:lvl>
    <w:lvl w:ilvl="3" w:tplc="0F383600">
      <w:start w:val="1"/>
      <w:numFmt w:val="bullet"/>
      <w:lvlText w:val="●"/>
      <w:lvlJc w:val="left"/>
      <w:pPr>
        <w:ind w:left="2880" w:hanging="360"/>
      </w:pPr>
    </w:lvl>
    <w:lvl w:ilvl="4" w:tplc="28FEE644">
      <w:start w:val="1"/>
      <w:numFmt w:val="bullet"/>
      <w:lvlText w:val="○"/>
      <w:lvlJc w:val="left"/>
      <w:pPr>
        <w:ind w:left="3600" w:hanging="360"/>
      </w:pPr>
    </w:lvl>
    <w:lvl w:ilvl="5" w:tplc="57667DFA">
      <w:start w:val="1"/>
      <w:numFmt w:val="bullet"/>
      <w:lvlText w:val="■"/>
      <w:lvlJc w:val="left"/>
      <w:pPr>
        <w:ind w:left="4320" w:hanging="360"/>
      </w:pPr>
    </w:lvl>
    <w:lvl w:ilvl="6" w:tplc="5D6C51CC">
      <w:start w:val="1"/>
      <w:numFmt w:val="bullet"/>
      <w:lvlText w:val="●"/>
      <w:lvlJc w:val="left"/>
      <w:pPr>
        <w:ind w:left="5040" w:hanging="360"/>
      </w:pPr>
    </w:lvl>
    <w:lvl w:ilvl="7" w:tplc="659EB968">
      <w:start w:val="1"/>
      <w:numFmt w:val="bullet"/>
      <w:lvlText w:val="●"/>
      <w:lvlJc w:val="left"/>
      <w:pPr>
        <w:ind w:left="5760" w:hanging="360"/>
      </w:pPr>
    </w:lvl>
    <w:lvl w:ilvl="8" w:tplc="6B90D84A">
      <w:start w:val="1"/>
      <w:numFmt w:val="bullet"/>
      <w:lvlText w:val="●"/>
      <w:lvlJc w:val="left"/>
      <w:pPr>
        <w:ind w:left="6480" w:hanging="360"/>
      </w:pPr>
    </w:lvl>
  </w:abstractNum>
  <w:num w:numId="1" w16cid:durableId="21051060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0641"/>
    <w:rsid w:val="00550641"/>
    <w:rsid w:val="00B20A3A"/>
    <w:rsid w:val="00CC53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A57D0"/>
  <w15:docId w15:val="{128058A2-C6C0-4F4A-A1C5-E8B51E63E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1654</Words>
  <Characters>9998</Characters>
  <Application>Microsoft Office Word</Application>
  <DocSecurity>0</DocSecurity>
  <Lines>159</Lines>
  <Paragraphs>62</Paragraphs>
  <ScaleCrop>false</ScaleCrop>
  <Company/>
  <LinksUpToDate>false</LinksUpToDate>
  <CharactersWithSpaces>11618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Belinda Bailey</cp:lastModifiedBy>
  <cp:revision>2</cp:revision>
  <dcterms:created xsi:type="dcterms:W3CDTF">2026-04-17T08:17:00Z</dcterms:created>
  <dcterms:modified xsi:type="dcterms:W3CDTF">2026-04-17T08:17:00Z</dcterms:modified>
</cp:coreProperties>
</file>