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C21CC" w14:textId="77777777" w:rsidR="00526273" w:rsidRDefault="00000000">
      <w:pPr>
        <w:spacing w:before="240" w:after="160"/>
        <w:jc w:val="center"/>
      </w:pPr>
      <w:r>
        <w:rPr>
          <w:b/>
          <w:bCs/>
          <w:sz w:val="32"/>
          <w:szCs w:val="32"/>
        </w:rPr>
        <w:t>Living Protein Crops for Food-Insecure Regions:</w:t>
      </w:r>
    </w:p>
    <w:p w14:paraId="57495AA3" w14:textId="77777777" w:rsidR="00526273" w:rsidRDefault="00000000">
      <w:pPr>
        <w:spacing w:after="160"/>
        <w:jc w:val="center"/>
      </w:pPr>
      <w:r>
        <w:rPr>
          <w:b/>
          <w:bCs/>
          <w:sz w:val="26"/>
          <w:szCs w:val="26"/>
        </w:rPr>
        <w:t>A Root-and-Fruit Dual System Combining Rumen Bacterial Fermentation,</w:t>
      </w:r>
    </w:p>
    <w:p w14:paraId="3426FCA7" w14:textId="77777777" w:rsidR="00526273" w:rsidRDefault="00000000">
      <w:pPr>
        <w:spacing w:after="160"/>
        <w:jc w:val="center"/>
      </w:pPr>
      <w:r>
        <w:rPr>
          <w:b/>
          <w:bCs/>
          <w:sz w:val="26"/>
          <w:szCs w:val="26"/>
        </w:rPr>
        <w:t>Leghemoglobin Expression, and Protein-Studded Tropical Fruit</w:t>
      </w:r>
    </w:p>
    <w:p w14:paraId="56B7598D" w14:textId="77777777" w:rsidR="00526273" w:rsidRDefault="00000000">
      <w:pPr>
        <w:spacing w:after="80"/>
        <w:jc w:val="center"/>
      </w:pPr>
      <w:r>
        <w:t>Belinda Bailey</w:t>
      </w:r>
    </w:p>
    <w:p w14:paraId="52F3499E" w14:textId="77777777" w:rsidR="00526273" w:rsidRDefault="00000000">
      <w:pPr>
        <w:spacing w:after="80"/>
        <w:jc w:val="center"/>
      </w:pPr>
      <w:r>
        <w:t>BioStellar LLC, Duvall, Washington</w:t>
      </w:r>
    </w:p>
    <w:p w14:paraId="5A5C129B" w14:textId="77777777" w:rsidR="00526273" w:rsidRDefault="00000000">
      <w:pPr>
        <w:spacing w:after="400"/>
        <w:jc w:val="center"/>
      </w:pPr>
      <w:r>
        <w:rPr>
          <w:color w:val="888888"/>
          <w:sz w:val="20"/>
          <w:szCs w:val="20"/>
        </w:rPr>
        <w:t>BelindaBailey@msn.com  ·  USPTO Customer No. 224790  ·  April 2026</w:t>
      </w:r>
    </w:p>
    <w:p w14:paraId="1942A6D8" w14:textId="77777777" w:rsidR="00526273" w:rsidRDefault="00000000">
      <w:pPr>
        <w:pStyle w:val="Heading1"/>
        <w:spacing w:before="280" w:after="160"/>
      </w:pPr>
      <w:r>
        <w:rPr>
          <w:b/>
          <w:bCs/>
          <w:sz w:val="28"/>
          <w:szCs w:val="28"/>
        </w:rPr>
        <w:t>Abstract</w:t>
      </w:r>
    </w:p>
    <w:p w14:paraId="2D075A7A" w14:textId="77777777" w:rsidR="00526273" w:rsidRDefault="00000000">
      <w:pPr>
        <w:spacing w:after="160"/>
      </w:pPr>
      <w:r>
        <w:t>We propose a dual-system genetically engineered crop designed for deployment in sub-Saharan Africa and other food-insecure tropical regions where protein deficiency, iron deficiency anemia, and B12 deficiency are endemic. The system consists of two complementary plant forms: a root vegetable based on cassava architecture with enlarged anaerobic chambers housing rumen bacterial communities that convert plant cellulose to microbial protein and vitamin B12; and a large tropical fruit based on baobab and jackfruit architecture, with a protein-studded interior matrix combining leghemoglobin-derived heme iron, omega-3 fatty acids from published algal synthesis genes, and dense protein nodules modeled on legume seed storage bodies.</w:t>
      </w:r>
    </w:p>
    <w:p w14:paraId="0E26C208" w14:textId="77777777" w:rsidR="00526273" w:rsidRDefault="00000000">
      <w:pPr>
        <w:spacing w:after="160"/>
      </w:pPr>
      <w:r>
        <w:t>The concept originates from a fundamental observation: plants fix CO₂, water, and trace minerals into cellulose and sugars. Ruminant bacteria convert that cellulose to microbial protein. The ruminant animal is, in this view, a housing structure for the bacteria doing the nutritional work. This proposal asks whether a plant can provide that housing directly — and whether a fruit can concentrate the protein output into a harvested food with organ-meat nutritional density.</w:t>
      </w:r>
    </w:p>
    <w:p w14:paraId="7FEE59DC" w14:textId="77777777" w:rsidR="00526273" w:rsidRDefault="00000000">
      <w:pPr>
        <w:spacing w:after="320"/>
      </w:pPr>
      <w:r>
        <w:t>Every genetic modification proposed draws on published precedent. Yield projections are labeled as estimates. Guide RNA sequences are not specified here — they would be designed against validated target genes during Phase 1 laboratory work. The proposal is designed for honest peer review and calls for laboratory validation before any field deployment.</w:t>
      </w:r>
    </w:p>
    <w:p w14:paraId="75FA4C86" w14:textId="77777777" w:rsidR="00526273" w:rsidRDefault="00000000">
      <w:pPr>
        <w:spacing w:after="320"/>
      </w:pPr>
      <w:r>
        <w:rPr>
          <w:color w:val="555555"/>
          <w:sz w:val="20"/>
          <w:szCs w:val="20"/>
        </w:rPr>
        <w:t>Keywords: cellular agriculture, rumen fermentation, cassava engineering, leghemoglobin, protein storage vacuoles, sub-Saharan food security, B12 synthesis, heme iron, omega-3 fatty acids, CRISPR plant engineering</w:t>
      </w:r>
    </w:p>
    <w:p w14:paraId="1E569769" w14:textId="77777777" w:rsidR="00526273" w:rsidRDefault="00000000">
      <w:pPr>
        <w:pStyle w:val="Heading1"/>
        <w:spacing w:before="280" w:after="160"/>
      </w:pPr>
      <w:r>
        <w:rPr>
          <w:b/>
          <w:bCs/>
          <w:sz w:val="28"/>
          <w:szCs w:val="28"/>
        </w:rPr>
        <w:t>1. Introduction</w:t>
      </w:r>
    </w:p>
    <w:p w14:paraId="7AFB4BD1" w14:textId="77777777" w:rsidR="00526273" w:rsidRDefault="00000000">
      <w:pPr>
        <w:spacing w:after="160"/>
      </w:pPr>
      <w:r>
        <w:t>The starting insight for this proposal is simple. A plant takes in CO₂ from air, water from soil, and trace minerals — and from these nearly nothing inputs, produces the cellulose and sugars that feed a ruminant animal. The ruminant itself does not digest cellulose. Its rumen bacteria do. Those bacteria — primarily Fibrobacter succinogenes, Ruminococcus flavefaciens, and Bacteroides ruminicola — break cellulose into volatile fatty acids, then synthesize amino acids and complete microbial proteins from those fatty acids. The resulting microbial biomass is nutritionally rich, containing complete amino acid profiles and vitamin B12.</w:t>
      </w:r>
    </w:p>
    <w:p w14:paraId="1598855E" w14:textId="77777777" w:rsidR="00526273" w:rsidRDefault="00000000">
      <w:pPr>
        <w:spacing w:after="160"/>
      </w:pPr>
      <w:r>
        <w:t xml:space="preserve">In this view, the cow or goat is a warm housing structure for the bacteria doing the nutritional conversion. The question this proposal asks is: can a plant provide that housing directly? Can the space between a plant's roots serve as a fermentation chamber, fed by the plant's own </w:t>
      </w:r>
      <w:r>
        <w:lastRenderedPageBreak/>
        <w:t>photosynthetic output, producing microbial protein that the plant then concentrates and presents for harvest?</w:t>
      </w:r>
    </w:p>
    <w:p w14:paraId="1741251E" w14:textId="77777777" w:rsidR="00526273" w:rsidRDefault="00000000">
      <w:pPr>
        <w:spacing w:after="160"/>
      </w:pPr>
      <w:r>
        <w:t>The answer, based on existing synthetic biology literature, is that this is not obviously impossible. It requires significant genetic engineering, but every proposed modification has published precedent in the literature. No breakthrough technology is required — only the systematic combination of existing demonstrated capabilities.</w:t>
      </w:r>
    </w:p>
    <w:p w14:paraId="3939ABB1" w14:textId="77777777" w:rsidR="00526273" w:rsidRDefault="00000000">
      <w:pPr>
        <w:spacing w:after="320"/>
      </w:pPr>
      <w:r>
        <w:t>The target deployment environment is sub-Saharan Africa and similar tropical regions. This choice is deliberate and shapes the design. These regions offer abundant solar energy for plant growth, existing goat husbandry culture providing local access to rumen bacterial communities, warm soil temperatures that eliminate the need for engineered thermal regulation in fermentation chambers, and severe protein, iron, and B12 deficiency creating an urgent nutritional need. The system is designed to be deployable with a simple bacterial starter kit and mineral soil supplement, requiring no laboratory infrastructure after initial establishment.</w:t>
      </w:r>
    </w:p>
    <w:p w14:paraId="747C7D30" w14:textId="77777777" w:rsidR="00526273" w:rsidRDefault="00000000">
      <w:pPr>
        <w:pStyle w:val="Heading2"/>
        <w:spacing w:before="200" w:after="120"/>
      </w:pPr>
      <w:r>
        <w:rPr>
          <w:b/>
          <w:bCs/>
          <w:sz w:val="24"/>
          <w:szCs w:val="24"/>
        </w:rPr>
        <w:t>1.1 The Nutritional Gap This System Addresses</w:t>
      </w:r>
    </w:p>
    <w:p w14:paraId="66DB9D1C" w14:textId="77777777" w:rsidR="00526273" w:rsidRDefault="00000000">
      <w:pPr>
        <w:spacing w:after="160"/>
      </w:pPr>
      <w:r>
        <w:t>Iron deficiency anemia affects approximately 40% of children under 5 in sub-Saharan Africa, with pregnant women similarly affected. B12 deficiency is endemic in populations with limited animal product access. Complete protein deficiency — lack of all nine essential amino acids in adequate ratios — underlies much of the region's childhood stunting. Omega-3 fatty acids critical for neural development are absent from most available plant foods.</w:t>
      </w:r>
    </w:p>
    <w:p w14:paraId="122732FC" w14:textId="77777777" w:rsidR="00526273" w:rsidRDefault="00000000">
      <w:pPr>
        <w:spacing w:after="320"/>
      </w:pPr>
      <w:r>
        <w:t>Animal products address all of these simultaneously. A single serving of liver provides a week's worth of B12, highly bioavailable heme iron, complete protein, and meaningful omega-3 content. The system proposed here asks whether a plant can produce something with a nutritional profile approaching organ meat — using the same bacterial biochemistry that makes organ meat nutritious in the first place.</w:t>
      </w:r>
    </w:p>
    <w:p w14:paraId="04DBB209" w14:textId="77777777" w:rsidR="00526273" w:rsidRDefault="00000000">
      <w:pPr>
        <w:pStyle w:val="Heading1"/>
        <w:spacing w:before="280" w:after="160"/>
      </w:pPr>
      <w:r>
        <w:rPr>
          <w:b/>
          <w:bCs/>
          <w:sz w:val="28"/>
          <w:szCs w:val="28"/>
        </w:rPr>
        <w:t>2. System Overview: Two Complementary Plant Forms</w:t>
      </w:r>
    </w:p>
    <w:p w14:paraId="7B49B77E" w14:textId="77777777" w:rsidR="00526273" w:rsidRDefault="00000000">
      <w:pPr>
        <w:spacing w:after="160"/>
      </w:pPr>
      <w:r>
        <w:t>The proposal describes two plant forms designed to work together as a dual cropping system. The root form provides the fermentation infrastructure and harvests bacterial protein from below ground. The fruit form concentrates and presents that protein in a harvested food with high consumer appeal and organ-meat nutritional density. Both can be grown from the same plant if the architecture supports it, or as separate companion crops.</w:t>
      </w:r>
    </w:p>
    <w:p w14:paraId="56114DC4" w14:textId="77777777" w:rsidR="00526273" w:rsidRDefault="00000000">
      <w:pPr>
        <w:pStyle w:val="Heading2"/>
        <w:spacing w:before="200" w:after="120"/>
      </w:pPr>
      <w:r>
        <w:rPr>
          <w:b/>
          <w:bCs/>
          <w:sz w:val="24"/>
          <w:szCs w:val="24"/>
        </w:rPr>
        <w:t>2.1 The Root Form — Underground Bacterial Protein Factory</w:t>
      </w:r>
    </w:p>
    <w:p w14:paraId="70E12EBE" w14:textId="77777777" w:rsidR="00526273" w:rsidRDefault="00000000">
      <w:pPr>
        <w:spacing w:after="160"/>
      </w:pPr>
      <w:r>
        <w:t>The base organism for the root form is cassava (Manihot esculenta). Cassava is the logical choice for sub-Saharan deployment for reasons that go beyond convenience. It already thrives in exactly the drought-prone, nutrient-poor soils of the target region. Its genome is fully sequenced and published CRISPR protocols exist. It already produces enlarged starch-storing roots — meaning the plant architecture we need already exists and requires modification rather than creation. It is a culturally familiar staple crop, reducing adoption barriers.</w:t>
      </w:r>
    </w:p>
    <w:p w14:paraId="09CB275D" w14:textId="77777777" w:rsidR="00526273" w:rsidRDefault="00000000">
      <w:pPr>
        <w:spacing w:after="160"/>
      </w:pPr>
      <w:r>
        <w:t>The key modification to cassava root architecture is the development of enlarged anaerobic chambers within the root cortex. These chambers are modeled on the natural air spaces (aerenchyma) already present in cassava and many other root vegetables — spaces the plant uses for gas exchange. We propose enlarging and sealing a subset of these spaces to create anaerobic fermentation volumes, inoculated at planting with rumen bacterial communities.</w:t>
      </w:r>
    </w:p>
    <w:p w14:paraId="51B1C378" w14:textId="77777777" w:rsidR="00526273" w:rsidRDefault="00000000">
      <w:pPr>
        <w:spacing w:after="160"/>
      </w:pPr>
      <w:r>
        <w:t>The plant feeds the bacterial community through modified sugar transport — directing a portion of photosynthetic output to the fermentation chambers rather than to starch storage. The bacteria break down plant-derived sugars and cellulose fragments, synthesize amino acids and proteins, and produce B12 as a natural byproduct of their metabolism. Modified amino acid transporters in the chamber walls absorb the bacterial protein output and concentrate it in the root tissue for harvest.</w:t>
      </w:r>
    </w:p>
    <w:p w14:paraId="2BA4C4A3" w14:textId="77777777" w:rsidR="00526273" w:rsidRDefault="00000000">
      <w:pPr>
        <w:spacing w:after="120"/>
        <w:ind w:left="440"/>
      </w:pPr>
      <w:r>
        <w:rPr>
          <w:color w:val="888888"/>
          <w:sz w:val="20"/>
          <w:szCs w:val="20"/>
        </w:rPr>
        <w:t>Note: The specific enlargement of aerenchyma spaces and the modification of sugar transport to fermentation chambers are the two most novel genetic modifications proposed. Both build on published work in cassava root development genetics and plant-microbe symbiosis, but their combination in this specific architecture has not been demonstrated. Phase 1 laboratory work would need to validate whether this architecture is achievable and stable.</w:t>
      </w:r>
    </w:p>
    <w:p w14:paraId="6B186639" w14:textId="77777777" w:rsidR="00526273" w:rsidRDefault="00000000">
      <w:pPr>
        <w:pStyle w:val="Heading2"/>
        <w:spacing w:before="200" w:after="120"/>
      </w:pPr>
      <w:r>
        <w:rPr>
          <w:b/>
          <w:bCs/>
          <w:sz w:val="24"/>
          <w:szCs w:val="24"/>
        </w:rPr>
        <w:t>2.2 The Fruit Form — Protein-Studded Tropical Harvest</w:t>
      </w:r>
    </w:p>
    <w:p w14:paraId="22167DB6" w14:textId="77777777" w:rsidR="00526273" w:rsidRDefault="00000000">
      <w:pPr>
        <w:spacing w:after="160"/>
      </w:pPr>
      <w:r>
        <w:t>The fruit form is the more creative element of the proposal and the one with stronger potential for consumer adoption. The architecture is inspired by three existing plants: the baobab (Adansonia digitata) for its large hard-shelled fruit and drought tolerance; the jackfruit (Artocarpus heterophyllus) for its naturally meat-like texture and protein-pod interior structure; and the legume seed for its protein storage vacuole machinery.</w:t>
      </w:r>
    </w:p>
    <w:p w14:paraId="53E18343" w14:textId="77777777" w:rsidR="00526273" w:rsidRDefault="00000000">
      <w:pPr>
        <w:spacing w:after="160"/>
      </w:pPr>
      <w:r>
        <w:t>Jackfruit deserves particular attention here because it demonstrates that plant evolution has already arrived at meat-like texture independently. Unripe jackfruit has a fibrous, dense texture that is the basis for the most successful plant-based pulled pork substitute currently on the market. It grows in exactly the tropical conditions of the target deployment region. Its interior structure — dense protein pods suspended in a sugary matrix — is the natural prototype for the engineered protein-studded fruit proposed here.</w:t>
      </w:r>
    </w:p>
    <w:p w14:paraId="0D757A82" w14:textId="77777777" w:rsidR="00526273" w:rsidRDefault="00000000">
      <w:pPr>
        <w:spacing w:after="160"/>
      </w:pPr>
      <w:r>
        <w:t>The engineered fruit would be based on a jackfruit or baobab architecture with the following modifications: the fruit interior matrix would express leghemoglobin, giving it a reddish color and providing heme iron; protein storage vacuoles modeled on legume seed storage bodies would develop throughout the fruit flesh, creating the protein-studded texture; omega-3 synthesis genes from published algal sources would be expressed in the fat-rich tissue between protein deposits; and B12 from the root fermentation system would be transported upward and concentrated in the fruit.</w:t>
      </w:r>
    </w:p>
    <w:p w14:paraId="6EE9868B" w14:textId="77777777" w:rsidR="00526273" w:rsidRDefault="00000000">
      <w:pPr>
        <w:spacing w:after="320"/>
      </w:pPr>
      <w:r>
        <w:rPr>
          <w:color w:val="555555"/>
          <w:sz w:val="20"/>
          <w:szCs w:val="20"/>
        </w:rPr>
        <w:t>The visual result: a large tropical fruit with a hard outer shell, opened to reveal reddish-tinged flesh studded with dense cream-colored protein deposits — the color contrast making ripeness and protein content visually apparent at harvest.</w:t>
      </w:r>
    </w:p>
    <w:p w14:paraId="0FDB80FA" w14:textId="77777777" w:rsidR="00526273" w:rsidRDefault="00000000">
      <w:pPr>
        <w:pStyle w:val="Heading1"/>
        <w:spacing w:before="280" w:after="160"/>
      </w:pPr>
      <w:r>
        <w:rPr>
          <w:b/>
          <w:bCs/>
          <w:sz w:val="28"/>
          <w:szCs w:val="28"/>
        </w:rPr>
        <w:t>3. Genetic Modifications — Published Precedents for Each</w:t>
      </w:r>
    </w:p>
    <w:p w14:paraId="72EFC1AC" w14:textId="77777777" w:rsidR="00526273" w:rsidRDefault="00000000">
      <w:pPr>
        <w:spacing w:after="160"/>
      </w:pPr>
      <w:r>
        <w:t>Every modification listed below draws on published research. This section describes the biological target, the existing precedent, and the specific modification proposed. Guide RNA sequences are not specified here — they would be designed against validated target genes in Phase 1 laboratory work using published CRISPR design tools.</w:t>
      </w:r>
    </w:p>
    <w:p w14:paraId="72E5CEEE" w14:textId="77777777" w:rsidR="00526273" w:rsidRDefault="00000000">
      <w:pPr>
        <w:pStyle w:val="Heading2"/>
        <w:spacing w:before="200" w:after="120"/>
      </w:pPr>
      <w:r>
        <w:rPr>
          <w:b/>
          <w:bCs/>
          <w:sz w:val="24"/>
          <w:szCs w:val="24"/>
        </w:rPr>
        <w:t>3.1 Root Architecture Modifications</w:t>
      </w:r>
    </w:p>
    <w:p w14:paraId="75406C94" w14:textId="77777777" w:rsidR="00526273" w:rsidRDefault="00000000">
      <w:pPr>
        <w:pStyle w:val="Heading3"/>
        <w:spacing w:before="160" w:after="100"/>
      </w:pPr>
      <w:r>
        <w:rPr>
          <w:b/>
          <w:bCs/>
          <w:sz w:val="22"/>
          <w:szCs w:val="22"/>
        </w:rPr>
        <w:t>Modification 1: Enlarged Anaerobic Fermentation Chambers</w:t>
      </w:r>
    </w:p>
    <w:p w14:paraId="43926E2A" w14:textId="77777777" w:rsidR="00526273" w:rsidRDefault="00000000">
      <w:pPr>
        <w:spacing w:after="160"/>
      </w:pPr>
      <w:r>
        <w:t>Target: Aerenchyma development genes in cassava root cortex.</w:t>
      </w:r>
    </w:p>
    <w:p w14:paraId="63991999" w14:textId="77777777" w:rsidR="00526273" w:rsidRDefault="00000000">
      <w:pPr>
        <w:spacing w:after="160"/>
      </w:pPr>
      <w:r>
        <w:t>Precedent: Aerenchyma enlargement has been achieved in maize and rice through modification of ethylene signaling pathways (Yamauchi et al., 2018). Cassava aerenchyma development genes have been characterized in the published cassava genome (Bredeson et al., 2016).</w:t>
      </w:r>
    </w:p>
    <w:p w14:paraId="0377E258" w14:textId="77777777" w:rsidR="00526273" w:rsidRDefault="00000000">
      <w:pPr>
        <w:spacing w:after="160"/>
      </w:pPr>
      <w:r>
        <w:t>Proposed modification: Upregulate aerenchyma-forming pathways in a defined cortical zone while simultaneously expressing cell wall modifications that create a sealed anaerobic environment rather than a gas-exchange space. The sealing mechanism would be modeled on published work on suberization of root endodermis — the Casparian strip — which already creates selective permeability barriers in plant roots.</w:t>
      </w:r>
    </w:p>
    <w:p w14:paraId="293302B1" w14:textId="77777777" w:rsidR="00526273" w:rsidRDefault="00000000">
      <w:pPr>
        <w:spacing w:after="120"/>
        <w:ind w:left="440"/>
      </w:pPr>
      <w:r>
        <w:rPr>
          <w:color w:val="888888"/>
          <w:sz w:val="20"/>
          <w:szCs w:val="20"/>
        </w:rPr>
        <w:t>Note: This is the most technically novel modification proposed. The combination of enlarged aerenchyma with anaerobic sealing is not demonstrated in published literature. Feasibility assessment is the primary goal of Phase 1 in vitro work.</w:t>
      </w:r>
    </w:p>
    <w:p w14:paraId="24FB0709" w14:textId="77777777" w:rsidR="00526273" w:rsidRDefault="00000000">
      <w:pPr>
        <w:pStyle w:val="Heading3"/>
        <w:spacing w:before="160" w:after="100"/>
      </w:pPr>
      <w:r>
        <w:rPr>
          <w:b/>
          <w:bCs/>
          <w:sz w:val="22"/>
          <w:szCs w:val="22"/>
        </w:rPr>
        <w:t>Modification 2: Directed Sugar Transport to Fermentation Chambers</w:t>
      </w:r>
    </w:p>
    <w:p w14:paraId="4D49A9BA" w14:textId="77777777" w:rsidR="00526273" w:rsidRDefault="00000000">
      <w:pPr>
        <w:spacing w:after="160"/>
      </w:pPr>
      <w:r>
        <w:t>Target: Sucrose transporter genes in root vasculature.</w:t>
      </w:r>
    </w:p>
    <w:p w14:paraId="1E012D06" w14:textId="77777777" w:rsidR="00526273" w:rsidRDefault="00000000">
      <w:pPr>
        <w:spacing w:after="160"/>
      </w:pPr>
      <w:r>
        <w:t>Precedent: Plant sucrose transporters (SUT family) have been extensively characterized and redirected in published research. Overexpression of specific SUT genes directs photosynthate to specific sink tissues — this is the basis of published work on increasing starch yield in cassava roots (Ihemere et al., 2006).</w:t>
      </w:r>
    </w:p>
    <w:p w14:paraId="2E28FA99" w14:textId="77777777" w:rsidR="00526273" w:rsidRDefault="00000000">
      <w:pPr>
        <w:spacing w:after="160"/>
      </w:pPr>
      <w:r>
        <w:t>Proposed modification: Express a modified sucrose transporter in the chamber wall tissue, directing a portion of root-bound photosynthate into the fermentation chambers as bacterial feedstock.</w:t>
      </w:r>
    </w:p>
    <w:p w14:paraId="75229AFE" w14:textId="77777777" w:rsidR="00526273" w:rsidRDefault="00000000">
      <w:pPr>
        <w:pStyle w:val="Heading3"/>
        <w:spacing w:before="160" w:after="100"/>
      </w:pPr>
      <w:r>
        <w:rPr>
          <w:b/>
          <w:bCs/>
          <w:sz w:val="22"/>
          <w:szCs w:val="22"/>
        </w:rPr>
        <w:t>Modification 3: Amino Acid Transport from Chamber to Root Tissue</w:t>
      </w:r>
    </w:p>
    <w:p w14:paraId="4BA0F331" w14:textId="77777777" w:rsidR="00526273" w:rsidRDefault="00000000">
      <w:pPr>
        <w:spacing w:after="160"/>
      </w:pPr>
      <w:r>
        <w:t>Target: Amino acid permease (AAP) family transporters.</w:t>
      </w:r>
    </w:p>
    <w:p w14:paraId="789E6E72" w14:textId="77777777" w:rsidR="00526273" w:rsidRDefault="00000000">
      <w:pPr>
        <w:spacing w:after="160"/>
      </w:pPr>
      <w:r>
        <w:t>Precedent: AAP overexpression has been shown to increase seed protein content in legumes by improving amino acid import into developing seeds (Rolletschek et al., 2005). The same transport mechanism would move bacterial amino acid output from the fermentation chamber into the surrounding root tissue.</w:t>
      </w:r>
    </w:p>
    <w:p w14:paraId="71000ED6" w14:textId="77777777" w:rsidR="00526273" w:rsidRDefault="00000000">
      <w:pPr>
        <w:spacing w:after="160"/>
      </w:pPr>
      <w:r>
        <w:t>Proposed modification: Express high-affinity AAP transporters in the inner chamber wall, oriented to absorb amino acids from the bacterial community and transport them into root storage tissue.</w:t>
      </w:r>
    </w:p>
    <w:p w14:paraId="2A4618A9" w14:textId="77777777" w:rsidR="00526273" w:rsidRDefault="00000000">
      <w:pPr>
        <w:pStyle w:val="Heading2"/>
        <w:spacing w:before="200" w:after="120"/>
      </w:pPr>
      <w:r>
        <w:rPr>
          <w:b/>
          <w:bCs/>
          <w:sz w:val="24"/>
          <w:szCs w:val="24"/>
        </w:rPr>
        <w:t>3.2 Nutritional Enhancement Modifications</w:t>
      </w:r>
    </w:p>
    <w:p w14:paraId="5E2CDB0B" w14:textId="77777777" w:rsidR="00526273" w:rsidRDefault="00000000">
      <w:pPr>
        <w:pStyle w:val="Heading3"/>
        <w:spacing w:before="160" w:after="100"/>
      </w:pPr>
      <w:r>
        <w:rPr>
          <w:b/>
          <w:bCs/>
          <w:sz w:val="22"/>
          <w:szCs w:val="22"/>
        </w:rPr>
        <w:t>Modification 4: Leghemoglobin Expression for Heme Iron</w:t>
      </w:r>
    </w:p>
    <w:p w14:paraId="79DC120E" w14:textId="77777777" w:rsidR="00526273" w:rsidRDefault="00000000">
      <w:pPr>
        <w:spacing w:after="160"/>
      </w:pPr>
      <w:r>
        <w:t>Target: Soybean leghemoglobin gene (Lba) expressed in root and fruit tissue.</w:t>
      </w:r>
    </w:p>
    <w:p w14:paraId="0AAD93DB" w14:textId="77777777" w:rsidR="00526273" w:rsidRDefault="00000000">
      <w:pPr>
        <w:spacing w:after="160"/>
      </w:pPr>
      <w:r>
        <w:t>Precedent: This is the most strongly precedented modification in the proposal. Impossible Foods successfully expressed soybean leghemoglobin in yeast for commercial production, demonstrating the gene produces a functional, food-safe heme protein (Impossible Foods, published FDA GRAS documentation). Leghemoglobin naturally occurs in legume root nodules, where it gives them their characteristic pink color. Expression in non-legume plant tissue has been demonstrated in published research.</w:t>
      </w:r>
    </w:p>
    <w:p w14:paraId="400DFA45" w14:textId="77777777" w:rsidR="00526273" w:rsidRDefault="00000000">
      <w:pPr>
        <w:spacing w:after="160"/>
      </w:pPr>
      <w:r>
        <w:t>Proposed modification: Express Lba under a tissue-specific promoter active in root storage tissue and fruit flesh. This provides heme iron — the most bioavailable form — in both harvested plant parts. The reddish color serves as a visual quality indicator.</w:t>
      </w:r>
    </w:p>
    <w:p w14:paraId="73470E5E" w14:textId="77777777" w:rsidR="00526273" w:rsidRDefault="00000000">
      <w:pPr>
        <w:spacing w:after="120"/>
        <w:ind w:left="440"/>
      </w:pPr>
      <w:r>
        <w:rPr>
          <w:color w:val="888888"/>
          <w:sz w:val="20"/>
          <w:szCs w:val="20"/>
        </w:rPr>
        <w:t>Note: This modification has the strongest published precedent of any in this proposal and is likely the most tractable for early validation.</w:t>
      </w:r>
    </w:p>
    <w:p w14:paraId="07FF1C2C" w14:textId="77777777" w:rsidR="00526273" w:rsidRDefault="00000000">
      <w:pPr>
        <w:pStyle w:val="Heading3"/>
        <w:spacing w:before="160" w:after="100"/>
      </w:pPr>
      <w:r>
        <w:rPr>
          <w:b/>
          <w:bCs/>
          <w:sz w:val="22"/>
          <w:szCs w:val="22"/>
        </w:rPr>
        <w:t>Modification 5: Omega-3 Fatty Acid Synthesis</w:t>
      </w:r>
    </w:p>
    <w:p w14:paraId="60E86660" w14:textId="77777777" w:rsidR="00526273" w:rsidRDefault="00000000">
      <w:pPr>
        <w:spacing w:after="160"/>
      </w:pPr>
      <w:r>
        <w:t>Target: Algal elongase and desaturase genes for EPA and DHA synthesis.</w:t>
      </w:r>
    </w:p>
    <w:p w14:paraId="4EAC5906" w14:textId="77777777" w:rsidR="00526273" w:rsidRDefault="00000000">
      <w:pPr>
        <w:spacing w:after="160"/>
      </w:pPr>
      <w:r>
        <w:t>Precedent: Rothamsted Research successfully engineered Camelina sativa to produce fish-oil omega-3 fatty acids (EPA and DHA) using a seven-gene construct from microalgae (Ruiz-Lopez et al., 2014). The resulting seeds contained up to 31% very long chain omega-3 fatty acids — comparable to fish oil. This is published, peer-reviewed, field-tested work.</w:t>
      </w:r>
    </w:p>
    <w:p w14:paraId="44E02773" w14:textId="77777777" w:rsidR="00526273" w:rsidRDefault="00000000">
      <w:pPr>
        <w:spacing w:after="160"/>
      </w:pPr>
      <w:r>
        <w:t>Proposed modification: Express the Rothamsted omega-3 gene construct in fruit flesh tissue, concentrating EPA and DHA in the fat-rich matrix between protein deposits.</w:t>
      </w:r>
    </w:p>
    <w:p w14:paraId="665652AC" w14:textId="77777777" w:rsidR="00526273" w:rsidRDefault="00000000">
      <w:pPr>
        <w:pStyle w:val="Heading3"/>
        <w:spacing w:before="160" w:after="100"/>
      </w:pPr>
      <w:r>
        <w:rPr>
          <w:b/>
          <w:bCs/>
          <w:sz w:val="22"/>
          <w:szCs w:val="22"/>
        </w:rPr>
        <w:t>Modification 6: Protein Storage Vacuole Development in Fruit Flesh</w:t>
      </w:r>
    </w:p>
    <w:p w14:paraId="18AE7FE8" w14:textId="77777777" w:rsidR="00526273" w:rsidRDefault="00000000">
      <w:pPr>
        <w:spacing w:after="160"/>
      </w:pPr>
      <w:r>
        <w:t>Target: Legume seed storage protein genes (vicilin, legumin families) and vacuolar sorting receptor genes.</w:t>
      </w:r>
    </w:p>
    <w:p w14:paraId="796D9E93" w14:textId="77777777" w:rsidR="00526273" w:rsidRDefault="00000000">
      <w:pPr>
        <w:spacing w:after="160"/>
      </w:pPr>
      <w:r>
        <w:t>Precedent: Legume seed storage proteins are among the most studied plant proteins. Their synthesis and vacuolar targeting are well characterized. Expression of seed storage proteins in non-seed tissues has been demonstrated (Maruyama et al., 2014). The protein deposits would be visible as dense cream-colored nodules in the fruit flesh — the studded texture described in the proposal overview.</w:t>
      </w:r>
    </w:p>
    <w:p w14:paraId="7D696F8D" w14:textId="77777777" w:rsidR="00526273" w:rsidRDefault="00000000">
      <w:pPr>
        <w:spacing w:after="160"/>
      </w:pPr>
      <w:r>
        <w:t>Proposed modification: Express vicilin and legumin genes under a fruit-flesh-specific promoter, with vacuolar sorting signals directing protein deposition into large storage vacuoles that create the characteristic nodule texture.</w:t>
      </w:r>
    </w:p>
    <w:p w14:paraId="50E961B1" w14:textId="77777777" w:rsidR="00526273" w:rsidRDefault="00000000">
      <w:pPr>
        <w:pStyle w:val="Heading3"/>
        <w:spacing w:before="160" w:after="100"/>
      </w:pPr>
      <w:r>
        <w:rPr>
          <w:b/>
          <w:bCs/>
          <w:sz w:val="22"/>
          <w:szCs w:val="22"/>
        </w:rPr>
        <w:t>Modification 7: B12 Concentration and Transport</w:t>
      </w:r>
    </w:p>
    <w:p w14:paraId="2455ABAE" w14:textId="77777777" w:rsidR="00526273" w:rsidRDefault="00000000">
      <w:pPr>
        <w:spacing w:after="160"/>
      </w:pPr>
      <w:r>
        <w:t>Target: Cobalamin transport proteins expressed in root tissue adjacent to fermentation chambers.</w:t>
      </w:r>
    </w:p>
    <w:p w14:paraId="05A7E6AA" w14:textId="77777777" w:rsidR="00526273" w:rsidRDefault="00000000">
      <w:pPr>
        <w:spacing w:after="160"/>
      </w:pPr>
      <w:r>
        <w:t>Precedent: Rumen bacteria naturally synthesize vitamin B12 (cobalamin) as part of their metabolism. B12 transport in plants has been studied in the context of rhizobium symbiosis. Published work has characterized cobalamin-binding proteins in plant roots (Helliwell et al., 2011).</w:t>
      </w:r>
    </w:p>
    <w:p w14:paraId="1548C0EE" w14:textId="77777777" w:rsidR="00526273" w:rsidRDefault="00000000">
      <w:pPr>
        <w:spacing w:after="160"/>
      </w:pPr>
      <w:r>
        <w:t>Proposed modification: Overexpress cobalamin transport proteins in root tissue adjacent to fermentation chambers, absorbing bacterially-produced B12 and concentrating it in both root storage tissue and, via long-distance transport, in developing fruit.</w:t>
      </w:r>
    </w:p>
    <w:p w14:paraId="231E34A4" w14:textId="77777777" w:rsidR="00526273" w:rsidRDefault="00000000">
      <w:pPr>
        <w:spacing w:after="120"/>
        <w:ind w:left="440"/>
      </w:pPr>
      <w:r>
        <w:rPr>
          <w:color w:val="888888"/>
          <w:sz w:val="20"/>
          <w:szCs w:val="20"/>
        </w:rPr>
        <w:t>Note: B12 transport from root to fruit through the plant's vascular system has not been demonstrated. This modification requires validation of whether cobalamin can be transported via phloem in sufficient quantities for meaningful fruit concentration.</w:t>
      </w:r>
    </w:p>
    <w:p w14:paraId="58D64AAC" w14:textId="77777777" w:rsidR="00526273" w:rsidRDefault="00000000">
      <w:pPr>
        <w:pStyle w:val="Heading2"/>
        <w:spacing w:before="200" w:after="120"/>
      </w:pPr>
      <w:r>
        <w:rPr>
          <w:b/>
          <w:bCs/>
          <w:sz w:val="24"/>
          <w:szCs w:val="24"/>
        </w:rPr>
        <w:t>3.3 Cold Tolerance (Optional for Non-Tropical Deployment)</w:t>
      </w:r>
    </w:p>
    <w:p w14:paraId="2FFB932F" w14:textId="77777777" w:rsidR="00526273" w:rsidRDefault="00000000">
      <w:pPr>
        <w:spacing w:after="160"/>
      </w:pPr>
      <w:r>
        <w:t>For deployment beyond the tropical target region, cold tolerance modifications would be added. Published work on antifreeze protein expression in plants (Wallis &amp; Browse, 2002) and cold-shock protein overexpression provides a validated pathway. This modification is not needed for the primary sub-Saharan deployment target.</w:t>
      </w:r>
    </w:p>
    <w:p w14:paraId="614A3EB9" w14:textId="77777777" w:rsidR="00526273" w:rsidRDefault="00000000">
      <w:pPr>
        <w:pStyle w:val="Heading1"/>
        <w:spacing w:before="280" w:after="160"/>
      </w:pPr>
      <w:r>
        <w:rPr>
          <w:b/>
          <w:bCs/>
          <w:sz w:val="28"/>
          <w:szCs w:val="28"/>
        </w:rPr>
        <w:t>4. The Bacterial Starter Kit — Culturally Accessible Deployment</w:t>
      </w:r>
    </w:p>
    <w:p w14:paraId="78553870" w14:textId="77777777" w:rsidR="00526273" w:rsidRDefault="00000000">
      <w:pPr>
        <w:spacing w:after="160"/>
      </w:pPr>
      <w:r>
        <w:t>One of the strongest features of this system for sub-Saharan deployment is that the bacterial community needed for the fermentation chambers already exists in local goat and cattle populations. Rumen fluid from a healthy goat contains the complete bacterial community — Fibrobacter, Ruminococcus, Bacteroides, and dozens of supporting species — needed to inoculate the plant chambers.</w:t>
      </w:r>
    </w:p>
    <w:p w14:paraId="78631CD7" w14:textId="77777777" w:rsidR="00526273" w:rsidRDefault="00000000">
      <w:pPr>
        <w:spacing w:after="160"/>
      </w:pPr>
      <w:r>
        <w:t>The starter kit for initial deployment would be a freeze-dried preparation of rumen bacterial community, standardized for the key cellulose-degrading and protein-synthesizing species. This is analogous to existing commercial rumen inoculants already sold for livestock management in agricultural markets. The preparation would be mixed with water and applied to the planting hole at establishment.</w:t>
      </w:r>
    </w:p>
    <w:p w14:paraId="0D566390" w14:textId="77777777" w:rsidR="00526273" w:rsidRDefault="00000000">
      <w:pPr>
        <w:spacing w:after="160"/>
      </w:pPr>
      <w:r>
        <w:t>After the first growing season, farmers with goats can harvest their own inoculant from fresh rumen fluid and apply it to new plantings. No laboratory infrastructure is required after initial seed and starter kit distribution. The system is self-sustaining once established.</w:t>
      </w:r>
    </w:p>
    <w:p w14:paraId="46363DBD" w14:textId="77777777" w:rsidR="00526273" w:rsidRDefault="00000000">
      <w:pPr>
        <w:pStyle w:val="Heading2"/>
        <w:spacing w:before="200" w:after="120"/>
      </w:pPr>
      <w:r>
        <w:rPr>
          <w:b/>
          <w:bCs/>
          <w:sz w:val="24"/>
          <w:szCs w:val="24"/>
        </w:rPr>
        <w:t>4.1 Soil Mineral Supplement</w:t>
      </w:r>
    </w:p>
    <w:p w14:paraId="29EB5EDE" w14:textId="77777777" w:rsidR="00526273" w:rsidRDefault="00000000">
      <w:pPr>
        <w:spacing w:after="160"/>
      </w:pPr>
      <w:r>
        <w:t>Sub-Saharan soils are frequently depleted in the trace minerals needed for the proposed nutritional modifications. A simple mineral supplement tablet dissolved in water at planting would provide:</w:t>
      </w:r>
    </w:p>
    <w:p w14:paraId="45A33102" w14:textId="77777777" w:rsidR="00526273" w:rsidRDefault="00000000">
      <w:pPr>
        <w:spacing w:after="100"/>
        <w:ind w:left="440"/>
      </w:pPr>
      <w:r>
        <w:t>•  Cobalt: required by rumen bacteria for B12 synthesis. Sub-Saharan soils are frequently cobalt-depleted, which already limits B12 in local goat products.</w:t>
      </w:r>
    </w:p>
    <w:p w14:paraId="209BE2B5" w14:textId="77777777" w:rsidR="00526273" w:rsidRDefault="00000000">
      <w:pPr>
        <w:spacing w:after="100"/>
        <w:ind w:left="440"/>
      </w:pPr>
      <w:r>
        <w:t>•  Zinc and copper: required for the mineral concentration modifications and generally deficient in weathered tropical soils.</w:t>
      </w:r>
    </w:p>
    <w:p w14:paraId="17551073" w14:textId="77777777" w:rsidR="00526273" w:rsidRDefault="00000000">
      <w:pPr>
        <w:spacing w:after="100"/>
        <w:ind w:left="440"/>
      </w:pPr>
      <w:r>
        <w:t>•  Sulfur: required for amino acid synthesis (methionine, cysteine) by rumen bacteria.</w:t>
      </w:r>
    </w:p>
    <w:p w14:paraId="3564C553" w14:textId="77777777" w:rsidR="00526273" w:rsidRDefault="00000000">
      <w:pPr>
        <w:spacing w:after="100"/>
        <w:ind w:left="440"/>
      </w:pPr>
      <w:r>
        <w:t>•  Phosphorus: rate-limiting for bacterial growth in many sub-Saharan soils.</w:t>
      </w:r>
    </w:p>
    <w:p w14:paraId="75F2C7CF" w14:textId="77777777" w:rsidR="00526273" w:rsidRDefault="00000000">
      <w:pPr>
        <w:spacing w:after="320"/>
      </w:pPr>
      <w:r>
        <w:t>The mineral tablet formulation is simple and manufacturable locally at low cost. A single tablet per plant at establishment, with annual supplementation thereafter. This is comparable to existing micronutrient fertilizer programs already operating in the region.</w:t>
      </w:r>
    </w:p>
    <w:p w14:paraId="7DE8350D" w14:textId="77777777" w:rsidR="00526273" w:rsidRDefault="00000000">
      <w:pPr>
        <w:pStyle w:val="Heading1"/>
        <w:spacing w:before="280" w:after="160"/>
      </w:pPr>
      <w:r>
        <w:rPr>
          <w:b/>
          <w:bCs/>
          <w:sz w:val="28"/>
          <w:szCs w:val="28"/>
        </w:rPr>
        <w:t>5. Expected Nutritional Profile</w:t>
      </w:r>
    </w:p>
    <w:p w14:paraId="50482071" w14:textId="77777777" w:rsidR="00526273" w:rsidRDefault="00000000">
      <w:pPr>
        <w:spacing w:after="160"/>
      </w:pPr>
      <w:r>
        <w:t>The following nutritional targets are based on the published capabilities of the individual genetic modifications described in Section 3. They are targets, not demonstrated results. Laboratory validation is required to determine actual achievable concentrations in the specific plant system proposed.</w:t>
      </w:r>
    </w:p>
    <w:p w14:paraId="7A117E77" w14:textId="77777777" w:rsidR="00526273" w:rsidRDefault="00000000">
      <w:pPr>
        <w:pStyle w:val="Heading2"/>
        <w:spacing w:before="200" w:after="120"/>
      </w:pPr>
      <w:r>
        <w:rPr>
          <w:b/>
          <w:bCs/>
          <w:sz w:val="24"/>
          <w:szCs w:val="24"/>
        </w:rPr>
        <w:t>5.1 Root Form Nutritional Targets</w:t>
      </w:r>
    </w:p>
    <w:p w14:paraId="0C2D9F42" w14:textId="77777777" w:rsidR="00526273" w:rsidRDefault="00000000">
      <w:pPr>
        <w:spacing w:after="100"/>
        <w:ind w:left="440"/>
      </w:pPr>
      <w:r>
        <w:t>•  Protein content: 15–25% dry weight, compared to 2–3% in unmodified cassava. Based on published amino acid transporter overexpression results in legume seeds (Rolletschek et al., 2005). Estimated, requires validation.</w:t>
      </w:r>
    </w:p>
    <w:p w14:paraId="4D435C8D" w14:textId="77777777" w:rsidR="00526273" w:rsidRDefault="00000000">
      <w:pPr>
        <w:spacing w:after="100"/>
        <w:ind w:left="440"/>
      </w:pPr>
      <w:r>
        <w:t>•  Vitamin B12: meaningful concentration dependent on cobalt availability in soil and efficiency of cobalamin transport from fermentation chambers. Target: sufficient for 50% of daily requirement per 100g serving. Currently undemonstrated in plant tissue — primary validation target.</w:t>
      </w:r>
    </w:p>
    <w:p w14:paraId="2C426231" w14:textId="77777777" w:rsidR="00526273" w:rsidRDefault="00000000">
      <w:pPr>
        <w:spacing w:after="100"/>
        <w:ind w:left="440"/>
      </w:pPr>
      <w:r>
        <w:t>•  Heme iron: based on published leghemoglobin expression levels in legume root nodules, target concentration of 2–5mg heme iron per 100g fresh weight. Estimated from published Lba expression data.</w:t>
      </w:r>
    </w:p>
    <w:p w14:paraId="09BDCAE5" w14:textId="77777777" w:rsidR="00526273" w:rsidRDefault="00000000">
      <w:pPr>
        <w:spacing w:after="100"/>
        <w:ind w:left="440"/>
      </w:pPr>
      <w:r>
        <w:t>•  Complete amino acid profile: rumen bacterial protein is documented to contain all nine essential amino acids in good ratios (Czerkawski, 1986). Transport efficiency to root tissue requires validation.</w:t>
      </w:r>
    </w:p>
    <w:p w14:paraId="511D658B" w14:textId="77777777" w:rsidR="00526273" w:rsidRDefault="00000000">
      <w:pPr>
        <w:pStyle w:val="Heading2"/>
        <w:spacing w:before="200" w:after="120"/>
      </w:pPr>
      <w:r>
        <w:rPr>
          <w:b/>
          <w:bCs/>
          <w:sz w:val="24"/>
          <w:szCs w:val="24"/>
        </w:rPr>
        <w:t>5.2 Fruit Form Nutritional Targets</w:t>
      </w:r>
    </w:p>
    <w:p w14:paraId="6FCD61BB" w14:textId="77777777" w:rsidR="00526273" w:rsidRDefault="00000000">
      <w:pPr>
        <w:spacing w:after="100"/>
        <w:ind w:left="440"/>
      </w:pPr>
      <w:r>
        <w:t>•  Protein nodule content: 20–30% of fruit flesh by weight, based on published legume seed storage protein accumulation levels. The studded texture becomes apparent visually when protein nodule density exceeds approximately 15% of flesh volume.</w:t>
      </w:r>
    </w:p>
    <w:p w14:paraId="352B33C7" w14:textId="77777777" w:rsidR="00526273" w:rsidRDefault="00000000">
      <w:pPr>
        <w:spacing w:after="100"/>
        <w:ind w:left="440"/>
      </w:pPr>
      <w:r>
        <w:t>•  Omega-3 fatty acids: based on published Rothamsted Camelina results, target 5–10% of fruit fat content as EPA/DHA. Estimated from published seven-gene construct expression data.</w:t>
      </w:r>
    </w:p>
    <w:p w14:paraId="556E220C" w14:textId="77777777" w:rsidR="00526273" w:rsidRDefault="00000000">
      <w:pPr>
        <w:spacing w:after="100"/>
        <w:ind w:left="440"/>
      </w:pPr>
      <w:r>
        <w:t>•  Heme iron: same leghemoglobin modification as root form. Target 3–6mg per 100g fresh weight in reddish-tinged fruit flesh.</w:t>
      </w:r>
    </w:p>
    <w:p w14:paraId="7D1D0E82" w14:textId="77777777" w:rsidR="00526273" w:rsidRDefault="00000000">
      <w:pPr>
        <w:spacing w:after="100"/>
        <w:ind w:left="440"/>
      </w:pPr>
      <w:r>
        <w:t>•  Caloric density: higher than conventional tropical fruit due to protein nodule and fat content. Estimated 120–180 kcal per 100g versus 50–80 kcal for unmodified tropical fruits. Requires validation.</w:t>
      </w:r>
    </w:p>
    <w:p w14:paraId="5EC27D7F" w14:textId="77777777" w:rsidR="00526273" w:rsidRDefault="00000000">
      <w:pPr>
        <w:spacing w:after="120"/>
        <w:ind w:left="440"/>
      </w:pPr>
      <w:r>
        <w:rPr>
          <w:color w:val="888888"/>
          <w:sz w:val="20"/>
          <w:szCs w:val="20"/>
        </w:rPr>
        <w:t>Note: All figures above are estimates derived from published component research. The integrated system may perform differently from the sum of its parts. Phase 1 laboratory work is required to establish actual achievable concentrations.</w:t>
      </w:r>
    </w:p>
    <w:p w14:paraId="66555D1B" w14:textId="77777777" w:rsidR="00526273" w:rsidRDefault="00000000">
      <w:pPr>
        <w:pStyle w:val="Heading1"/>
        <w:spacing w:before="280" w:after="160"/>
      </w:pPr>
      <w:r>
        <w:rPr>
          <w:b/>
          <w:bCs/>
          <w:sz w:val="28"/>
          <w:szCs w:val="28"/>
        </w:rPr>
        <w:t>6. Development Pathway</w:t>
      </w:r>
    </w:p>
    <w:p w14:paraId="73E1CB31" w14:textId="77777777" w:rsidR="00526273" w:rsidRDefault="00000000">
      <w:pPr>
        <w:pStyle w:val="Heading2"/>
        <w:spacing w:before="200" w:after="120"/>
      </w:pPr>
      <w:r>
        <w:rPr>
          <w:b/>
          <w:bCs/>
          <w:sz w:val="24"/>
          <w:szCs w:val="24"/>
        </w:rPr>
        <w:t>Phase 1: In Vitro Validation (Years 1–2)</w:t>
      </w:r>
    </w:p>
    <w:p w14:paraId="383D16B4" w14:textId="77777777" w:rsidR="00526273" w:rsidRDefault="00000000">
      <w:pPr>
        <w:spacing w:after="160"/>
      </w:pPr>
      <w:r>
        <w:t>The priority questions for Phase 1 are the ones with least published precedent:</w:t>
      </w:r>
    </w:p>
    <w:p w14:paraId="1A9CD3A1" w14:textId="77777777" w:rsidR="00526273" w:rsidRDefault="00000000">
      <w:pPr>
        <w:spacing w:after="100"/>
        <w:ind w:left="440"/>
      </w:pPr>
      <w:r>
        <w:t>•  Can enlarged anaerobic chambers be created in cassava root cortex that maintain stable anaerobic conditions and support rumen bacterial colonization?</w:t>
      </w:r>
    </w:p>
    <w:p w14:paraId="0D6F91F8" w14:textId="77777777" w:rsidR="00526273" w:rsidRDefault="00000000">
      <w:pPr>
        <w:spacing w:after="100"/>
        <w:ind w:left="440"/>
      </w:pPr>
      <w:r>
        <w:t>•  Does leghemoglobin express stably in cassava root tissue and jackfruit flesh at meaningful concentrations?</w:t>
      </w:r>
    </w:p>
    <w:p w14:paraId="0C3F9FB4" w14:textId="77777777" w:rsidR="00526273" w:rsidRDefault="00000000">
      <w:pPr>
        <w:spacing w:after="100"/>
        <w:ind w:left="440"/>
      </w:pPr>
      <w:r>
        <w:t>•  Can cobalamin be transported from root fermentation chambers to above-ground tissue at nutritionally relevant levels?</w:t>
      </w:r>
    </w:p>
    <w:p w14:paraId="7FDE703D" w14:textId="77777777" w:rsidR="00526273" w:rsidRDefault="00000000">
      <w:pPr>
        <w:spacing w:after="100"/>
        <w:ind w:left="440"/>
      </w:pPr>
      <w:r>
        <w:t>•  Do protein storage vacuoles form in fruit flesh tissue when legume seed storage protein genes are expressed, and do they create the expected nodule texture?</w:t>
      </w:r>
    </w:p>
    <w:p w14:paraId="1384C8AD" w14:textId="77777777" w:rsidR="00526273" w:rsidRDefault="00000000">
      <w:pPr>
        <w:spacing w:after="160"/>
      </w:pPr>
      <w:r>
        <w:t>Phase 1 work would be conducted in tissue culture and greenhouse conditions. Cassava transformation protocols are published and accessible. Jackfruit transformation is less established and may require protocol development.</w:t>
      </w:r>
    </w:p>
    <w:p w14:paraId="681359B4" w14:textId="77777777" w:rsidR="00526273" w:rsidRDefault="00000000">
      <w:pPr>
        <w:pStyle w:val="Heading2"/>
        <w:spacing w:before="200" w:after="120"/>
      </w:pPr>
      <w:r>
        <w:rPr>
          <w:b/>
          <w:bCs/>
          <w:sz w:val="24"/>
          <w:szCs w:val="24"/>
        </w:rPr>
        <w:t>Phase 2: Greenhouse and Contained Field Trials (Years 3–4)</w:t>
      </w:r>
    </w:p>
    <w:p w14:paraId="49654BD2" w14:textId="77777777" w:rsidR="00526273" w:rsidRDefault="00000000">
      <w:pPr>
        <w:spacing w:after="160"/>
      </w:pPr>
      <w:r>
        <w:t>Validation of the integrated system in contained conditions. Key metrics: protein yield per plant, B12 concentration in harvested tissue, heme iron concentration, omega-3 content, bacterial community stability over multiple growing seasons, genetic stability of modifications.</w:t>
      </w:r>
    </w:p>
    <w:p w14:paraId="4E1A93AD" w14:textId="77777777" w:rsidR="00526273" w:rsidRDefault="00000000">
      <w:pPr>
        <w:spacing w:after="160"/>
      </w:pPr>
      <w:r>
        <w:t>Biosafety assessment: all modified plants would carry sterility modifications preventing uncontrolled reproduction and spread. Contained field trials would follow established GMO regulatory protocols.</w:t>
      </w:r>
    </w:p>
    <w:p w14:paraId="6CA02C43" w14:textId="77777777" w:rsidR="00526273" w:rsidRDefault="00000000">
      <w:pPr>
        <w:pStyle w:val="Heading2"/>
        <w:spacing w:before="200" w:after="120"/>
      </w:pPr>
      <w:r>
        <w:rPr>
          <w:b/>
          <w:bCs/>
          <w:sz w:val="24"/>
          <w:szCs w:val="24"/>
        </w:rPr>
        <w:t>Phase 3: Field Trials in Target Region (Years 5–7)</w:t>
      </w:r>
    </w:p>
    <w:p w14:paraId="57CEED11" w14:textId="77777777" w:rsidR="00526273" w:rsidRDefault="00000000">
      <w:pPr>
        <w:spacing w:after="160"/>
      </w:pPr>
      <w:r>
        <w:t>Partnered trials with agricultural research institutions in sub-Saharan Africa. Key additions at this phase: farmer adoption assessment, cultural acceptability of protein-studded fruit, integration with existing goat husbandry practices, economic analysis at farm scale.</w:t>
      </w:r>
    </w:p>
    <w:p w14:paraId="38698037" w14:textId="77777777" w:rsidR="00526273" w:rsidRDefault="00000000">
      <w:pPr>
        <w:spacing w:after="160"/>
      </w:pPr>
      <w:r>
        <w:t>The bacterial starter kit and mineral supplement would be field-tested for shelf life, ease of use, and effectiveness across different soil types in the target region.</w:t>
      </w:r>
    </w:p>
    <w:p w14:paraId="42688C0E" w14:textId="77777777" w:rsidR="00526273" w:rsidRDefault="00000000">
      <w:pPr>
        <w:pStyle w:val="Heading2"/>
        <w:spacing w:before="200" w:after="120"/>
      </w:pPr>
      <w:r>
        <w:rPr>
          <w:b/>
          <w:bCs/>
          <w:sz w:val="24"/>
          <w:szCs w:val="24"/>
        </w:rPr>
        <w:t>Estimated Development Costs</w:t>
      </w:r>
    </w:p>
    <w:p w14:paraId="3FD1D944" w14:textId="77777777" w:rsidR="00526273" w:rsidRDefault="00000000">
      <w:pPr>
        <w:spacing w:after="160"/>
      </w:pPr>
      <w:r>
        <w:t>These are order-of-magnitude estimates based on published cellular agriculture development costs and do not represent a formal budget:</w:t>
      </w:r>
    </w:p>
    <w:p w14:paraId="7088D9EB" w14:textId="77777777" w:rsidR="00526273" w:rsidRDefault="00000000">
      <w:pPr>
        <w:spacing w:after="100"/>
        <w:ind w:left="440"/>
      </w:pPr>
      <w:r>
        <w:t>•  Phase 1 laboratory work: $3–8 million (plant transformation, tissue culture, analytical chemistry)</w:t>
      </w:r>
    </w:p>
    <w:p w14:paraId="4D1D12DE" w14:textId="77777777" w:rsidR="00526273" w:rsidRDefault="00000000">
      <w:pPr>
        <w:spacing w:after="100"/>
        <w:ind w:left="440"/>
      </w:pPr>
      <w:r>
        <w:t>•  Phase 2 greenhouse and contained trials: $5–12 million (facility costs, multi-year growing trials, biosafety assessment)</w:t>
      </w:r>
    </w:p>
    <w:p w14:paraId="6F69AA48" w14:textId="77777777" w:rsidR="00526273" w:rsidRDefault="00000000">
      <w:pPr>
        <w:spacing w:after="100"/>
        <w:ind w:left="440"/>
      </w:pPr>
      <w:r>
        <w:t>•  Phase 3 field trials: $8–20 million (regional partnerships, regulatory engagement, farmer training)</w:t>
      </w:r>
    </w:p>
    <w:p w14:paraId="43B691FA" w14:textId="77777777" w:rsidR="00526273" w:rsidRDefault="00000000">
      <w:pPr>
        <w:spacing w:after="320"/>
      </w:pPr>
      <w:r>
        <w:t>Total estimated development investment to proof-of-concept field validation: $16–40 million over 7 years. This is significantly lower than conventional cellular agriculture development costs because the system uses agricultural rather than bioreactor infrastructure.</w:t>
      </w:r>
    </w:p>
    <w:p w14:paraId="4E0B0D8B" w14:textId="77777777" w:rsidR="00526273" w:rsidRDefault="00000000">
      <w:pPr>
        <w:pStyle w:val="Heading1"/>
        <w:spacing w:before="280" w:after="160"/>
      </w:pPr>
      <w:r>
        <w:rPr>
          <w:b/>
          <w:bCs/>
          <w:sz w:val="28"/>
          <w:szCs w:val="28"/>
        </w:rPr>
        <w:t>7. Safety and Containment</w:t>
      </w:r>
    </w:p>
    <w:p w14:paraId="191372A7" w14:textId="77777777" w:rsidR="00526273" w:rsidRDefault="00000000">
      <w:pPr>
        <w:spacing w:after="160"/>
      </w:pPr>
      <w:r>
        <w:t>Genetic containment is a non-negotiable design requirement. The system would incorporate:</w:t>
      </w:r>
    </w:p>
    <w:p w14:paraId="1A222C63" w14:textId="77777777" w:rsidR="00526273" w:rsidRDefault="00000000">
      <w:pPr>
        <w:spacing w:after="100"/>
        <w:ind w:left="440"/>
      </w:pPr>
      <w:r>
        <w:t>•  Sterility modifications preventing viable seed production outside controlled conditions. Published apomixis and male sterility gene systems provide validated approaches.</w:t>
      </w:r>
    </w:p>
    <w:p w14:paraId="2C0DA2E4" w14:textId="77777777" w:rsidR="00526273" w:rsidRDefault="00000000">
      <w:pPr>
        <w:spacing w:after="100"/>
        <w:ind w:left="440"/>
      </w:pPr>
      <w:r>
        <w:t>•  Dependence on the mineral supplement tablet for optimal bacterial community function — without cobalt supplementation, B12 synthesis and bacterial vigor decline, providing a practical check on uncontrolled spread.</w:t>
      </w:r>
    </w:p>
    <w:p w14:paraId="222EBEE6" w14:textId="77777777" w:rsidR="00526273" w:rsidRDefault="00000000">
      <w:pPr>
        <w:spacing w:after="100"/>
        <w:ind w:left="440"/>
      </w:pPr>
      <w:r>
        <w:t>•  Standard GMO monitoring protocols including regular genetic stability assessment and containment effectiveness evaluation.</w:t>
      </w:r>
    </w:p>
    <w:p w14:paraId="765E4EA0" w14:textId="77777777" w:rsidR="00526273" w:rsidRDefault="00000000">
      <w:pPr>
        <w:spacing w:after="320"/>
      </w:pPr>
      <w:r>
        <w:t>Food safety: the rumen bacterial community proposed is the same community already present in goat and cattle digestive systems and already consumed by humans who eat organ meats. The bacterial protein produced is analogous to the microbial protein that makes organ meat nutritious. Formal food safety assessment would follow regulatory requirements for novel foods in target deployment regions and in export markets.</w:t>
      </w:r>
    </w:p>
    <w:p w14:paraId="1AFB3E7F" w14:textId="77777777" w:rsidR="00526273" w:rsidRDefault="00000000">
      <w:pPr>
        <w:pStyle w:val="Heading1"/>
        <w:spacing w:before="280" w:after="160"/>
      </w:pPr>
      <w:r>
        <w:rPr>
          <w:b/>
          <w:bCs/>
          <w:sz w:val="28"/>
          <w:szCs w:val="28"/>
        </w:rPr>
        <w:t>8. Discussion</w:t>
      </w:r>
    </w:p>
    <w:p w14:paraId="3399570B" w14:textId="77777777" w:rsidR="00526273" w:rsidRDefault="00000000">
      <w:pPr>
        <w:pStyle w:val="Heading2"/>
        <w:spacing w:before="200" w:after="120"/>
      </w:pPr>
      <w:r>
        <w:rPr>
          <w:b/>
          <w:bCs/>
          <w:sz w:val="24"/>
          <w:szCs w:val="24"/>
        </w:rPr>
        <w:t>8.1 The Core Insight Restated</w:t>
      </w:r>
    </w:p>
    <w:p w14:paraId="1CAD10B9" w14:textId="77777777" w:rsidR="00526273" w:rsidRDefault="00000000">
      <w:pPr>
        <w:spacing w:after="160"/>
      </w:pPr>
      <w:r>
        <w:t>This proposal is built on a reframing of where nutrition comes from. The nutritional value of meat does not come from the animal — it comes from the bacteria inside the animal, processing plant material that the animal cannot digest directly. The animal provides warmth, anaerobic conditions, and a continuous supply of plant material. Everything else is bacterial chemistry.</w:t>
      </w:r>
    </w:p>
    <w:p w14:paraId="366746E0" w14:textId="77777777" w:rsidR="00526273" w:rsidRDefault="00000000">
      <w:pPr>
        <w:spacing w:after="160"/>
      </w:pPr>
      <w:r>
        <w:t>Plants can provide warmth (in tropical environments), anaerobic conditions (in sealed root chambers), and plant material (their own photosynthetic output). The bacteria are locally available. The question this proposal poses to the scientific community is whether the plant can be engineered to house and harvest that bacterial chemistry directly, bypassing the animal intermediary.</w:t>
      </w:r>
    </w:p>
    <w:p w14:paraId="3316C5A9" w14:textId="77777777" w:rsidR="00526273" w:rsidRDefault="00000000">
      <w:pPr>
        <w:pStyle w:val="Heading2"/>
        <w:spacing w:before="200" w:after="120"/>
      </w:pPr>
      <w:r>
        <w:rPr>
          <w:b/>
          <w:bCs/>
          <w:sz w:val="24"/>
          <w:szCs w:val="24"/>
        </w:rPr>
        <w:t>8.2 Why This Matters for Food Security</w:t>
      </w:r>
    </w:p>
    <w:p w14:paraId="0BA9A669" w14:textId="77777777" w:rsidR="00526273" w:rsidRDefault="00000000">
      <w:pPr>
        <w:spacing w:after="160"/>
      </w:pPr>
      <w:r>
        <w:t>Existing alternative protein approaches — lab-grown meat, mycoprotein, insect farming, conventional plant-based protein — all require infrastructure that is unavailable in the most food-insecure regions. Lab-grown meat requires sterile bioreactors and expensive growth media. Mycoprotein requires controlled fermentation facilities. Insect farming requires feed inputs and management. Conventional plant-based protein (legumes) addresses caloric protein need but not B12, heme iron, or omega-3 deficiency.</w:t>
      </w:r>
    </w:p>
    <w:p w14:paraId="0661BE99" w14:textId="77777777" w:rsidR="00526273" w:rsidRDefault="00000000">
      <w:pPr>
        <w:spacing w:after="160"/>
      </w:pPr>
      <w:r>
        <w:t>A self-sustaining perennial crop that addresses all four nutritional gaps simultaneously, using infrastructure no more complex than a goat and a garden, is a genuinely different category of intervention. It meets the food system where it is rather than requiring the food system to become something it currently is not.</w:t>
      </w:r>
    </w:p>
    <w:p w14:paraId="6ED9ACC0" w14:textId="77777777" w:rsidR="00526273" w:rsidRDefault="00000000">
      <w:pPr>
        <w:pStyle w:val="Heading2"/>
        <w:spacing w:before="200" w:after="120"/>
      </w:pPr>
      <w:r>
        <w:rPr>
          <w:b/>
          <w:bCs/>
          <w:sz w:val="24"/>
          <w:szCs w:val="24"/>
        </w:rPr>
        <w:t>8.3 Honest Assessment of Challenges</w:t>
      </w:r>
    </w:p>
    <w:p w14:paraId="2FC5324B" w14:textId="77777777" w:rsidR="00526273" w:rsidRDefault="00000000">
      <w:pPr>
        <w:spacing w:after="160"/>
      </w:pPr>
      <w:r>
        <w:t>The most significant technical challenge is the fermentation chamber architecture. Creating stable anaerobic conditions in a living plant root — which is actively respiring and exchanging gases — while maintaining the plant's health and the bacterial community's productivity, is not demonstrated and may prove difficult. This is the make-or-break question for the root form and the primary focus of Phase 1 work.</w:t>
      </w:r>
    </w:p>
    <w:p w14:paraId="3B273A7E" w14:textId="77777777" w:rsidR="00526273" w:rsidRDefault="00000000">
      <w:pPr>
        <w:spacing w:after="160"/>
      </w:pPr>
      <w:r>
        <w:t>The B12 transport question is the second major uncertainty. Whether cobalamin can move from root fermentation chambers to fruit tissue in nutritionally meaningful quantities is unknown. If it cannot, B12 enrichment may be limited to the root form only, which would still be nutritionally valuable but would reduce the fruit form's nutritional profile.</w:t>
      </w:r>
    </w:p>
    <w:p w14:paraId="6AFBC60B" w14:textId="77777777" w:rsidR="00526273" w:rsidRDefault="00000000">
      <w:pPr>
        <w:spacing w:after="320"/>
      </w:pPr>
      <w:r>
        <w:t>Regulatory pathways for GMO crops in sub-Saharan Africa vary significantly by country and are evolving. Several countries in the region have approved GMO crops (South Africa, Nigeria, Ethiopia, Kenya) while others maintain moratoria. Engagement with regional regulatory bodies would need to begin in Phase 1 alongside laboratory work.</w:t>
      </w:r>
    </w:p>
    <w:p w14:paraId="57E97EC5" w14:textId="77777777" w:rsidR="00526273" w:rsidRDefault="00000000">
      <w:pPr>
        <w:pStyle w:val="Heading1"/>
        <w:spacing w:before="280" w:after="160"/>
      </w:pPr>
      <w:r>
        <w:rPr>
          <w:b/>
          <w:bCs/>
          <w:sz w:val="28"/>
          <w:szCs w:val="28"/>
        </w:rPr>
        <w:t>9. Conclusion</w:t>
      </w:r>
    </w:p>
    <w:p w14:paraId="33B11F43" w14:textId="77777777" w:rsidR="00526273" w:rsidRDefault="00000000">
      <w:pPr>
        <w:spacing w:after="160"/>
      </w:pPr>
      <w:r>
        <w:t>We have described a dual-system protein crop — a root vegetable and a protein-studded tropical fruit — designed specifically for deployment in sub-Saharan Africa and similar food-insecure tropical regions. The system reframes the nutritional problem: instead of trying to replicate meat through industrial processes, it asks whether plants can house the bacterial biochemistry that makes meat nutritious in the first place.</w:t>
      </w:r>
    </w:p>
    <w:p w14:paraId="2D09230F" w14:textId="77777777" w:rsidR="00526273" w:rsidRDefault="00000000">
      <w:pPr>
        <w:spacing w:after="160"/>
      </w:pPr>
      <w:r>
        <w:t>Every genetic modification proposed has published precedent. The most strongly precedented — leghemoglobin expression for heme iron, algal omega-3 synthesis genes, legume protein storage vacuoles — are within reach of current plant biotechnology. The most novel — anaerobic fermentation chambers in root tissue — is the primary validation target for Phase 1 laboratory work.</w:t>
      </w:r>
    </w:p>
    <w:p w14:paraId="5292C87F" w14:textId="77777777" w:rsidR="00526273" w:rsidRDefault="00000000">
      <w:pPr>
        <w:spacing w:after="160"/>
      </w:pPr>
      <w:r>
        <w:t>The deployment model is designed for the real conditions of the target region: a bacterial starter kit derived from local goat rumen, a simple mineral supplement tablet, and a perennial crop that maintains itself once established. No laboratory infrastructure is required after initial planting.</w:t>
      </w:r>
    </w:p>
    <w:p w14:paraId="64228601" w14:textId="77777777" w:rsidR="00526273" w:rsidRDefault="00000000">
      <w:pPr>
        <w:spacing w:after="320"/>
      </w:pPr>
      <w:r>
        <w:t>This proposal calls for laboratory validation of the core architecture, honest engagement with regulatory pathways in target countries, and partnership with agricultural research institutions in the region. If the fermentation chamber concept validates, the integrated system has the potential to address protein, iron, B12, and omega-3 deficiency simultaneously in a single perennial crop — a combination no existing intervention achieves.</w:t>
      </w:r>
    </w:p>
    <w:p w14:paraId="1B7BB459" w14:textId="77777777" w:rsidR="00526273" w:rsidRDefault="00000000">
      <w:pPr>
        <w:pStyle w:val="Heading1"/>
        <w:spacing w:before="280" w:after="160"/>
      </w:pPr>
      <w:r>
        <w:rPr>
          <w:b/>
          <w:bCs/>
          <w:sz w:val="28"/>
          <w:szCs w:val="28"/>
        </w:rPr>
        <w:t>References</w:t>
      </w:r>
    </w:p>
    <w:p w14:paraId="73C287F4" w14:textId="77777777" w:rsidR="00526273" w:rsidRDefault="00000000">
      <w:pPr>
        <w:spacing w:after="160"/>
      </w:pPr>
      <w:r>
        <w:t>Bredeson, J.V., et al. (2016). Sequencing wild and cultivated cassava and related species reveals extensive interspecific hybridization and genetic diversity. Nature Biotechnology, 34(5), 562–570.</w:t>
      </w:r>
    </w:p>
    <w:p w14:paraId="08E6A2BD" w14:textId="77777777" w:rsidR="00526273" w:rsidRDefault="00000000">
      <w:pPr>
        <w:spacing w:after="160"/>
      </w:pPr>
      <w:r>
        <w:t>Czerkawski, J.W. (1986). An Introduction to Rumen Studies. Pergamon Press, Oxford.</w:t>
      </w:r>
    </w:p>
    <w:p w14:paraId="12FDF352" w14:textId="77777777" w:rsidR="00526273" w:rsidRDefault="00000000">
      <w:pPr>
        <w:spacing w:after="160"/>
      </w:pPr>
      <w:r>
        <w:t>Helliwell, K.E., et al. (2011). Insights into the evolution of vitamin B12 auxotrophy from sequenced algal genomes. Molecular Biology and Evolution, 28(10), 2921–2933.</w:t>
      </w:r>
    </w:p>
    <w:p w14:paraId="336C4F48" w14:textId="77777777" w:rsidR="00526273" w:rsidRDefault="00000000">
      <w:pPr>
        <w:spacing w:after="160"/>
      </w:pPr>
      <w:r>
        <w:t>Henderson, G., et al. (2015). Rumen microbial community composition varies with diet and host, but a core microbiome is found across a wide geographical range. Scientific Reports, 5, 14567.</w:t>
      </w:r>
    </w:p>
    <w:p w14:paraId="5D2A435D" w14:textId="77777777" w:rsidR="00526273" w:rsidRDefault="00000000">
      <w:pPr>
        <w:spacing w:after="160"/>
      </w:pPr>
      <w:r>
        <w:t>Ihemere, U., et al. (2006). Genetic modification of cassava for enhanced starch production. Plant Biotechnology Journal, 4(4), 453–465.</w:t>
      </w:r>
    </w:p>
    <w:p w14:paraId="39672831" w14:textId="77777777" w:rsidR="00526273" w:rsidRDefault="00000000">
      <w:pPr>
        <w:spacing w:after="160"/>
      </w:pPr>
      <w:r>
        <w:t>Maruyama, N., et al. (2014). Structure–function relationships of soybean β-conglycinin and glycinin. Bioscience, Biotechnology, and Biochemistry, 78(8), 1303–1312.</w:t>
      </w:r>
    </w:p>
    <w:p w14:paraId="457DBEBC" w14:textId="77777777" w:rsidR="00526273" w:rsidRDefault="00000000">
      <w:pPr>
        <w:spacing w:after="160"/>
      </w:pPr>
      <w:r>
        <w:t>Rolletschek, H., et al. (2005). Ectopic expression of an amino acid transporter (VfAAP1) in seeds of Vicia narbonensis and pea increases storage proteins. Plant Physiology, 137(4), 1236–1249.</w:t>
      </w:r>
    </w:p>
    <w:p w14:paraId="040B1176" w14:textId="77777777" w:rsidR="00526273" w:rsidRDefault="00000000">
      <w:pPr>
        <w:spacing w:after="160"/>
      </w:pPr>
      <w:r>
        <w:t>Ruiz-Lopez, N., et al. (2014). Successful high-level accumulation of fish oil omega-3 long-chain polyunsaturated fatty acids in a transgenic oilseed crop. Plant Journal, 77(2), 198–208.</w:t>
      </w:r>
    </w:p>
    <w:p w14:paraId="37A98335" w14:textId="77777777" w:rsidR="00526273" w:rsidRDefault="00000000">
      <w:pPr>
        <w:spacing w:after="160"/>
      </w:pPr>
      <w:r>
        <w:t>Wallis, J.G., &amp; Browse, J. (2002). Mutants of Arabidopsis reveal many roles for membrane lipids. Progress in Lipid Research, 41(3), 254–278.</w:t>
      </w:r>
    </w:p>
    <w:p w14:paraId="7D1B4997" w14:textId="77777777" w:rsidR="00526273" w:rsidRDefault="00000000">
      <w:pPr>
        <w:spacing w:after="160"/>
      </w:pPr>
      <w:r>
        <w:t>Willett, W., et al. (2019). Food in the Anthropocene: the EAT–Lancet Commission on healthy diets from sustainable food systems. The Lancet, 393(10170), 447–492.</w:t>
      </w:r>
    </w:p>
    <w:p w14:paraId="1AE30EAF" w14:textId="77777777" w:rsidR="00526273" w:rsidRDefault="00000000">
      <w:pPr>
        <w:spacing w:after="160"/>
      </w:pPr>
      <w:r>
        <w:t xml:space="preserve">Yamauchi, T., et al. (2018). Ethylene-mediated aerenchyma formation in cortical cells of maize roots in waterlogged conditions. Plant Signaling &amp; Behavior, 13(1), e1422. </w:t>
      </w:r>
    </w:p>
    <w:sectPr w:rsidR="0052627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5A5A20"/>
    <w:multiLevelType w:val="hybridMultilevel"/>
    <w:tmpl w:val="7736D734"/>
    <w:lvl w:ilvl="0" w:tplc="7AF218F4">
      <w:start w:val="1"/>
      <w:numFmt w:val="bullet"/>
      <w:lvlText w:val="●"/>
      <w:lvlJc w:val="left"/>
      <w:pPr>
        <w:ind w:left="720" w:hanging="360"/>
      </w:pPr>
    </w:lvl>
    <w:lvl w:ilvl="1" w:tplc="891EDC00">
      <w:start w:val="1"/>
      <w:numFmt w:val="bullet"/>
      <w:lvlText w:val="○"/>
      <w:lvlJc w:val="left"/>
      <w:pPr>
        <w:ind w:left="1440" w:hanging="360"/>
      </w:pPr>
    </w:lvl>
    <w:lvl w:ilvl="2" w:tplc="8E60A542">
      <w:start w:val="1"/>
      <w:numFmt w:val="bullet"/>
      <w:lvlText w:val="■"/>
      <w:lvlJc w:val="left"/>
      <w:pPr>
        <w:ind w:left="2160" w:hanging="360"/>
      </w:pPr>
    </w:lvl>
    <w:lvl w:ilvl="3" w:tplc="6B9485D4">
      <w:start w:val="1"/>
      <w:numFmt w:val="bullet"/>
      <w:lvlText w:val="●"/>
      <w:lvlJc w:val="left"/>
      <w:pPr>
        <w:ind w:left="2880" w:hanging="360"/>
      </w:pPr>
    </w:lvl>
    <w:lvl w:ilvl="4" w:tplc="AB0A0C18">
      <w:start w:val="1"/>
      <w:numFmt w:val="bullet"/>
      <w:lvlText w:val="○"/>
      <w:lvlJc w:val="left"/>
      <w:pPr>
        <w:ind w:left="3600" w:hanging="360"/>
      </w:pPr>
    </w:lvl>
    <w:lvl w:ilvl="5" w:tplc="6FD00D80">
      <w:start w:val="1"/>
      <w:numFmt w:val="bullet"/>
      <w:lvlText w:val="■"/>
      <w:lvlJc w:val="left"/>
      <w:pPr>
        <w:ind w:left="4320" w:hanging="360"/>
      </w:pPr>
    </w:lvl>
    <w:lvl w:ilvl="6" w:tplc="42064FE0">
      <w:start w:val="1"/>
      <w:numFmt w:val="bullet"/>
      <w:lvlText w:val="●"/>
      <w:lvlJc w:val="left"/>
      <w:pPr>
        <w:ind w:left="5040" w:hanging="360"/>
      </w:pPr>
    </w:lvl>
    <w:lvl w:ilvl="7" w:tplc="A8A8E100">
      <w:start w:val="1"/>
      <w:numFmt w:val="bullet"/>
      <w:lvlText w:val="●"/>
      <w:lvlJc w:val="left"/>
      <w:pPr>
        <w:ind w:left="5760" w:hanging="360"/>
      </w:pPr>
    </w:lvl>
    <w:lvl w:ilvl="8" w:tplc="514EABD6">
      <w:start w:val="1"/>
      <w:numFmt w:val="bullet"/>
      <w:lvlText w:val="●"/>
      <w:lvlJc w:val="left"/>
      <w:pPr>
        <w:ind w:left="6480" w:hanging="360"/>
      </w:pPr>
    </w:lvl>
  </w:abstractNum>
  <w:num w:numId="1" w16cid:durableId="4320170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6273"/>
    <w:rsid w:val="00162FA3"/>
    <w:rsid w:val="00526273"/>
    <w:rsid w:val="00DC4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C3F19"/>
  <w15:docId w15:val="{651382D0-087F-448C-8A26-C10AA1479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4489</Words>
  <Characters>25590</Characters>
  <Application>Microsoft Office Word</Application>
  <DocSecurity>0</DocSecurity>
  <Lines>213</Lines>
  <Paragraphs>60</Paragraphs>
  <ScaleCrop>false</ScaleCrop>
  <Company/>
  <LinksUpToDate>false</LinksUpToDate>
  <CharactersWithSpaces>30019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Belinda Bailey</cp:lastModifiedBy>
  <cp:revision>2</cp:revision>
  <dcterms:created xsi:type="dcterms:W3CDTF">2026-04-17T08:52:00Z</dcterms:created>
  <dcterms:modified xsi:type="dcterms:W3CDTF">2026-04-17T08:52:00Z</dcterms:modified>
</cp:coreProperties>
</file>