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85082" w14:textId="77777777" w:rsidR="00333206" w:rsidRDefault="00F3750C">
      <w:pPr>
        <w:spacing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Spore form + molecular cargo packages</w:t>
      </w:r>
    </w:p>
    <w:p w14:paraId="0CC55D80" w14:textId="77777777" w:rsidR="00333206" w:rsidRDefault="00F3750C">
      <w:pPr>
        <w:spacing w:after="80"/>
        <w:jc w:val="center"/>
      </w:pPr>
      <w:proofErr w:type="spellStart"/>
      <w:r>
        <w:rPr>
          <w:rFonts w:ascii="Arial" w:eastAsia="Arial" w:hAnsi="Arial" w:cs="Arial"/>
          <w:color w:val="5F5E5A"/>
        </w:rPr>
        <w:t>BioStellar</w:t>
      </w:r>
      <w:proofErr w:type="spellEnd"/>
      <w:r>
        <w:rPr>
          <w:rFonts w:ascii="Arial" w:eastAsia="Arial" w:hAnsi="Arial" w:cs="Arial"/>
          <w:color w:val="5F5E5A"/>
        </w:rPr>
        <w:t xml:space="preserve"> </w:t>
      </w:r>
      <w:proofErr w:type="gramStart"/>
      <w:r>
        <w:rPr>
          <w:rFonts w:ascii="Arial" w:eastAsia="Arial" w:hAnsi="Arial" w:cs="Arial"/>
          <w:color w:val="5F5E5A"/>
        </w:rPr>
        <w:t>LLC  ·</w:t>
      </w:r>
      <w:proofErr w:type="gramEnd"/>
      <w:r>
        <w:rPr>
          <w:rFonts w:ascii="Arial" w:eastAsia="Arial" w:hAnsi="Arial" w:cs="Arial"/>
          <w:color w:val="5F5E5A"/>
        </w:rPr>
        <w:t xml:space="preserve">  dead galaxy ecosystem </w:t>
      </w:r>
      <w:proofErr w:type="gramStart"/>
      <w:r>
        <w:rPr>
          <w:rFonts w:ascii="Arial" w:eastAsia="Arial" w:hAnsi="Arial" w:cs="Arial"/>
          <w:color w:val="5F5E5A"/>
        </w:rPr>
        <w:t>series  ·</w:t>
      </w:r>
      <w:proofErr w:type="gramEnd"/>
      <w:r>
        <w:rPr>
          <w:rFonts w:ascii="Arial" w:eastAsia="Arial" w:hAnsi="Arial" w:cs="Arial"/>
          <w:color w:val="5F5E5A"/>
        </w:rPr>
        <w:t xml:space="preserve">  sheet 3 of 3</w:t>
      </w:r>
    </w:p>
    <w:p w14:paraId="0AA0BBEA" w14:textId="77777777" w:rsidR="00333206" w:rsidRDefault="00333206">
      <w:pPr>
        <w:pBdr>
          <w:bottom w:val="single" w:sz="4" w:space="0" w:color="CCCCCC"/>
        </w:pBdr>
        <w:spacing w:before="80" w:after="80"/>
      </w:pPr>
    </w:p>
    <w:p w14:paraId="5355AD43" w14:textId="77777777" w:rsidR="00333206" w:rsidRDefault="00F3750C">
      <w:pPr>
        <w:spacing w:before="40" w:after="60"/>
      </w:pPr>
      <w:r>
        <w:rPr>
          <w:rFonts w:ascii="Arial" w:eastAsia="Arial" w:hAnsi="Arial" w:cs="Arial"/>
          <w:i/>
          <w:iCs/>
          <w:color w:val="5F5E5A"/>
          <w:sz w:val="18"/>
          <w:szCs w:val="18"/>
        </w:rPr>
        <w:t>Dormant spore — pre-activation form — contains complete design — awaits triple-threshold trigger</w:t>
      </w:r>
    </w:p>
    <w:p w14:paraId="18E4D875" w14:textId="77777777" w:rsidR="00333206" w:rsidRDefault="00F3750C">
      <w:pPr>
        <w:spacing w:before="120" w:after="60"/>
      </w:pPr>
      <w:r>
        <w:rPr>
          <w:rFonts w:ascii="Arial" w:eastAsia="Arial" w:hAnsi="Arial" w:cs="Arial"/>
          <w:b/>
          <w:bCs/>
          <w:color w:val="0F6E56"/>
          <w:sz w:val="28"/>
          <w:szCs w:val="28"/>
        </w:rPr>
        <w:t>Spore shell architecture — concentric layers (outermost → innermost)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206" w14:paraId="4BDCE74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0B04F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1. Electrostatic deflection surface</w:t>
            </w:r>
          </w:p>
          <w:p w14:paraId="18889C32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Aligned polar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molecules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passive charge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layer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established at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formation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zero energy cost</w:t>
            </w:r>
          </w:p>
        </w:tc>
      </w:tr>
    </w:tbl>
    <w:p w14:paraId="74A27D90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206" w14:paraId="2A6483E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8028A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2. Melanin–chitin radiation harvest shield</w:t>
            </w:r>
          </w:p>
          <w:p w14:paraId="66461A1C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Radiosynthesis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layer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radiation → stored electron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current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structural chitin backing</w:t>
            </w:r>
          </w:p>
        </w:tc>
      </w:tr>
    </w:tbl>
    <w:p w14:paraId="6D26208B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206" w14:paraId="4094DA4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BB6197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3. PAH filter membrane</w:t>
            </w:r>
          </w:p>
          <w:p w14:paraId="319BC9AE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21 cm pass-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through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high-energy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opaque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Ca deposit anchor points</w:t>
            </w:r>
          </w:p>
        </w:tc>
      </w:tr>
    </w:tbl>
    <w:p w14:paraId="29877764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206" w14:paraId="1246765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FC12BD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4. Calcium mineral shell</w:t>
            </w:r>
          </w:p>
          <w:p w14:paraId="7D67CD93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Piezoelectric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capacitor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5F5E5A"/>
              </w:rPr>
              <w:t>armour</w:t>
            </w:r>
            <w:proofErr w:type="spellEnd"/>
            <w:r>
              <w:rPr>
                <w:rFonts w:ascii="Arial" w:eastAsia="Arial" w:hAnsi="Arial" w:cs="Arial"/>
                <w:color w:val="5F5E5A"/>
              </w:rPr>
              <w:t xml:space="preserve">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EM comms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medium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thickens with age</w:t>
            </w:r>
          </w:p>
        </w:tc>
      </w:tr>
    </w:tbl>
    <w:p w14:paraId="3436BDD9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206" w14:paraId="4D07091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1E0A4B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0F6E56"/>
                <w:sz w:val="24"/>
                <w:szCs w:val="24"/>
              </w:rPr>
              <w:t>5. Chiral helix antenna</w:t>
            </w:r>
          </w:p>
          <w:p w14:paraId="227DBEA2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R =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Frolicker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L =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Gardener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chirality set at formation — determines destiny</w:t>
            </w:r>
          </w:p>
        </w:tc>
      </w:tr>
    </w:tbl>
    <w:p w14:paraId="21F4B90F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206" w14:paraId="702FCD7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C3809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6. Lipid maze core</w:t>
            </w:r>
          </w:p>
          <w:p w14:paraId="06AE84F8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Complete design encoded in folding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state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atomic inventory pre-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loaded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bud formation site</w:t>
            </w:r>
          </w:p>
        </w:tc>
      </w:tr>
    </w:tbl>
    <w:p w14:paraId="74E986D2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206" w14:paraId="21AB295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62298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185FA5"/>
                <w:sz w:val="24"/>
                <w:szCs w:val="24"/>
              </w:rPr>
              <w:t>7. H-bond capture sites (6 total)</w:t>
            </w:r>
          </w:p>
          <w:p w14:paraId="40CA083F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Radially distributed on outer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shell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contact energy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harvest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gate 1 density sensor</w:t>
            </w:r>
          </w:p>
        </w:tc>
      </w:tr>
    </w:tbl>
    <w:p w14:paraId="3E5E8B69" w14:textId="77777777" w:rsidR="00333206" w:rsidRDefault="00333206">
      <w:pPr>
        <w:spacing w:before="60"/>
      </w:pPr>
    </w:p>
    <w:p w14:paraId="4C16FE94" w14:textId="77777777" w:rsidR="00333206" w:rsidRDefault="00F3750C">
      <w:pPr>
        <w:spacing w:before="120" w:after="60"/>
      </w:pPr>
      <w:r>
        <w:rPr>
          <w:rFonts w:ascii="Arial" w:eastAsia="Arial" w:hAnsi="Arial" w:cs="Arial"/>
          <w:b/>
          <w:bCs/>
          <w:color w:val="993C1D"/>
          <w:sz w:val="28"/>
          <w:szCs w:val="28"/>
        </w:rPr>
        <w:t>Activation gate logic — all three must open simultaneously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333206" w14:paraId="5245C5C4" w14:textId="77777777"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15FE4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185FA5"/>
                <w:sz w:val="24"/>
                <w:szCs w:val="24"/>
              </w:rPr>
              <w:t>Gate 1 — H density</w:t>
            </w:r>
          </w:p>
          <w:p w14:paraId="6638656C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Contact rate at H-bond sites exceeds threshold</w:t>
            </w:r>
          </w:p>
          <w:p w14:paraId="1C97D7E6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Current generated crosses activation level</w:t>
            </w:r>
          </w:p>
          <w:p w14:paraId="0842491B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Indicates suitable molecular cloud density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FB4D46" w14:textId="77777777" w:rsidR="00333206" w:rsidRDefault="00333206"/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066AC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185FA5"/>
                <w:sz w:val="24"/>
                <w:szCs w:val="24"/>
              </w:rPr>
              <w:t>Gate 2 — gravitational gradient</w:t>
            </w:r>
          </w:p>
          <w:p w14:paraId="65FFB238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W₆–C₁₂ dipole array distinguishes cloud from void</w:t>
            </w:r>
          </w:p>
          <w:p w14:paraId="1D64F11A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Gradient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signature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must match cloud structure</w:t>
            </w:r>
          </w:p>
          <w:p w14:paraId="4482355B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Prevents false activation in diffuse regions</w:t>
            </w:r>
          </w:p>
        </w:tc>
      </w:tr>
    </w:tbl>
    <w:p w14:paraId="59C0C4A5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33206" w14:paraId="4AEE43E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44E2FB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993C1D"/>
                <w:sz w:val="24"/>
                <w:szCs w:val="24"/>
              </w:rPr>
              <w:t>Gate 3 — radiation level assessment</w:t>
            </w:r>
          </w:p>
          <w:p w14:paraId="14C48663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Melanin harvest rate encodes ambient radiation intensity</w:t>
            </w:r>
          </w:p>
          <w:p w14:paraId="52643737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Waits for survivable and harvestable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range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prevents activation in lethal flux environments</w:t>
            </w:r>
          </w:p>
          <w:p w14:paraId="69A71C1C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On triple confirmation: inventory deploys → lipid maze activates → helix begins rotation</w:t>
            </w:r>
          </w:p>
        </w:tc>
      </w:tr>
    </w:tbl>
    <w:p w14:paraId="31B0A833" w14:textId="77777777" w:rsidR="00333206" w:rsidRDefault="00333206">
      <w:pPr>
        <w:pBdr>
          <w:bottom w:val="single" w:sz="4" w:space="0" w:color="CCCCCC"/>
        </w:pBdr>
        <w:spacing w:before="80" w:after="80"/>
      </w:pPr>
    </w:p>
    <w:p w14:paraId="613182D8" w14:textId="77777777" w:rsidR="00333206" w:rsidRDefault="00F3750C">
      <w:pPr>
        <w:spacing w:before="60" w:after="40"/>
      </w:pPr>
      <w:r>
        <w:rPr>
          <w:rFonts w:ascii="Arial" w:eastAsia="Arial" w:hAnsi="Arial" w:cs="Arial"/>
          <w:b/>
          <w:bCs/>
          <w:sz w:val="28"/>
          <w:szCs w:val="28"/>
        </w:rPr>
        <w:t>Molecular cargo packages — enrichment inventory</w:t>
      </w:r>
    </w:p>
    <w:p w14:paraId="43757BE6" w14:textId="77777777" w:rsidR="00333206" w:rsidRDefault="00F3750C">
      <w:pPr>
        <w:spacing w:after="80"/>
      </w:pPr>
      <w:r>
        <w:rPr>
          <w:rFonts w:ascii="Arial" w:eastAsia="Arial" w:hAnsi="Arial" w:cs="Arial"/>
          <w:i/>
          <w:iCs/>
          <w:color w:val="5F5E5A"/>
        </w:rPr>
        <w:t xml:space="preserve">Rare atoms treated as precious batteries or structural upgrades — scavenged, not </w:t>
      </w:r>
      <w:proofErr w:type="spellStart"/>
      <w:r>
        <w:rPr>
          <w:rFonts w:ascii="Arial" w:eastAsia="Arial" w:hAnsi="Arial" w:cs="Arial"/>
          <w:i/>
          <w:iCs/>
          <w:color w:val="5F5E5A"/>
        </w:rPr>
        <w:t>synthesised</w:t>
      </w:r>
      <w:proofErr w:type="spellEnd"/>
      <w:r>
        <w:rPr>
          <w:rFonts w:ascii="Arial" w:eastAsia="Arial" w:hAnsi="Arial" w:cs="Arial"/>
          <w:i/>
          <w:iCs/>
          <w:color w:val="5F5E5A"/>
        </w:rPr>
        <w:t xml:space="preserve"> — inherited by colony, not offspring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333206" w14:paraId="63F8F0CA" w14:textId="77777777"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1F01D2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854F0B"/>
                <w:sz w:val="24"/>
                <w:szCs w:val="24"/>
              </w:rPr>
              <w:lastRenderedPageBreak/>
              <w:t>Package A — carbon nanotubes</w:t>
            </w:r>
          </w:p>
          <w:p w14:paraId="799591E7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Near-zero resistance at 2.7–6 K</w:t>
            </w:r>
          </w:p>
          <w:p w14:paraId="7A0B4918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Lossless current highway + structural spine</w:t>
            </w:r>
          </w:p>
          <w:p w14:paraId="1E00196E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Not </w:t>
            </w:r>
            <w:proofErr w:type="spellStart"/>
            <w:r>
              <w:rPr>
                <w:rFonts w:ascii="Arial" w:eastAsia="Arial" w:hAnsi="Arial" w:cs="Arial"/>
                <w:color w:val="5F5E5A"/>
              </w:rPr>
              <w:t>synthesisable</w:t>
            </w:r>
            <w:proofErr w:type="spellEnd"/>
            <w:r>
              <w:rPr>
                <w:rFonts w:ascii="Arial" w:eastAsia="Arial" w:hAnsi="Arial" w:cs="Arial"/>
                <w:color w:val="5F5E5A"/>
              </w:rPr>
              <w:t xml:space="preserve"> in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situ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must be found</w:t>
            </w:r>
          </w:p>
          <w:p w14:paraId="04DC403F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Dramatically extends operational lifespan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99559B" w14:textId="77777777" w:rsidR="00333206" w:rsidRDefault="00333206"/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5CEEF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0F6E56"/>
                <w:sz w:val="24"/>
                <w:szCs w:val="24"/>
              </w:rPr>
              <w:t>Package B — calcium mineral</w:t>
            </w:r>
          </w:p>
          <w:p w14:paraId="7390866E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Hydroxyapatite / calcite deposits</w:t>
            </w:r>
          </w:p>
          <w:p w14:paraId="0A82217A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Piezoelectric energy store + shell </w:t>
            </w:r>
            <w:proofErr w:type="spellStart"/>
            <w:r>
              <w:rPr>
                <w:rFonts w:ascii="Arial" w:eastAsia="Arial" w:hAnsi="Arial" w:cs="Arial"/>
                <w:color w:val="5F5E5A"/>
              </w:rPr>
              <w:t>armour</w:t>
            </w:r>
            <w:proofErr w:type="spellEnd"/>
          </w:p>
          <w:p w14:paraId="3D4AEE02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Inter-Frolicker EM comms signal medium</w:t>
            </w:r>
          </w:p>
          <w:p w14:paraId="7E998E67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Accumulates with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age  ·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 scavenged from dead</w:t>
            </w:r>
          </w:p>
        </w:tc>
      </w:tr>
    </w:tbl>
    <w:p w14:paraId="603A5A76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333206" w14:paraId="6AA75B2F" w14:textId="77777777"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D3BFB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854F0B"/>
                <w:sz w:val="24"/>
                <w:szCs w:val="24"/>
              </w:rPr>
              <w:t>Package C — gold atom inclusions</w:t>
            </w:r>
          </w:p>
          <w:p w14:paraId="45E2E13A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Nanotube end-cap conductance </w:t>
            </w:r>
            <w:proofErr w:type="spellStart"/>
            <w:r>
              <w:rPr>
                <w:rFonts w:ascii="Arial" w:eastAsia="Arial" w:hAnsi="Arial" w:cs="Arial"/>
                <w:color w:val="5F5E5A"/>
              </w:rPr>
              <w:t>optimiser</w:t>
            </w:r>
            <w:proofErr w:type="spellEnd"/>
          </w:p>
          <w:p w14:paraId="2BE74E21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Fe–S junction enhancement nodes</w:t>
            </w:r>
          </w:p>
          <w:p w14:paraId="63AD1C95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Rarest: ~1 in 10⁴ Frolickers</w:t>
            </w:r>
          </w:p>
          <w:p w14:paraId="032E5CBF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Nanotube + gold = near-indefinite lifespan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A8ABFC" w14:textId="77777777" w:rsidR="00333206" w:rsidRDefault="00333206"/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A968C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0F6E56"/>
                <w:sz w:val="24"/>
                <w:szCs w:val="24"/>
              </w:rPr>
              <w:t>Package D — iron–sulfur clusters</w:t>
            </w:r>
          </w:p>
          <w:p w14:paraId="5DCE6BF3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Pre-formed Fe–S electron transfer units</w:t>
            </w:r>
          </w:p>
          <w:p w14:paraId="5310231E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Signal amplification chain nodes</w:t>
            </w:r>
          </w:p>
          <w:p w14:paraId="2D200792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Present in all spores at seeding</w:t>
            </w:r>
          </w:p>
          <w:p w14:paraId="40CF456E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Partial memory transfer from dead Frolickers</w:t>
            </w:r>
          </w:p>
        </w:tc>
      </w:tr>
    </w:tbl>
    <w:p w14:paraId="31620C31" w14:textId="77777777" w:rsidR="00333206" w:rsidRDefault="00333206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200"/>
        <w:gridCol w:w="4580"/>
      </w:tblGrid>
      <w:tr w:rsidR="00333206" w14:paraId="6FA6A3C6" w14:textId="77777777"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7A7FC8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Package E — lipid maze fragment</w:t>
            </w:r>
          </w:p>
          <w:p w14:paraId="0B84D62E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 xml:space="preserve">Dead-Frolicker </w:t>
            </w:r>
            <w:proofErr w:type="gramStart"/>
            <w:r>
              <w:rPr>
                <w:rFonts w:ascii="Arial" w:eastAsia="Arial" w:hAnsi="Arial" w:cs="Arial"/>
                <w:color w:val="5F5E5A"/>
              </w:rPr>
              <w:t>scavenge</w:t>
            </w:r>
            <w:proofErr w:type="gramEnd"/>
            <w:r>
              <w:rPr>
                <w:rFonts w:ascii="Arial" w:eastAsia="Arial" w:hAnsi="Arial" w:cs="Arial"/>
                <w:color w:val="5F5E5A"/>
              </w:rPr>
              <w:t xml:space="preserve"> via Fe–S uptake</w:t>
            </w:r>
          </w:p>
          <w:p w14:paraId="021950DF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Partial memory transfer: ancestral instinct</w:t>
            </w:r>
          </w:p>
          <w:p w14:paraId="20402A4B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Not full inheritance — degraded but real</w:t>
            </w:r>
          </w:p>
          <w:p w14:paraId="58A34A53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Closest analogue to cultural memory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B674326" w14:textId="77777777" w:rsidR="00333206" w:rsidRDefault="00333206"/>
        </w:tc>
        <w:tc>
          <w:tcPr>
            <w:tcW w:w="45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7B8FD" w14:textId="77777777" w:rsidR="00333206" w:rsidRDefault="00F3750C">
            <w:r>
              <w:rPr>
                <w:rFonts w:ascii="Arial" w:eastAsia="Arial" w:hAnsi="Arial" w:cs="Arial"/>
                <w:b/>
                <w:bCs/>
                <w:color w:val="534AB7"/>
                <w:sz w:val="24"/>
                <w:szCs w:val="24"/>
              </w:rPr>
              <w:t>Package F — tungsten dipole units</w:t>
            </w:r>
          </w:p>
          <w:p w14:paraId="58D06D84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W₆ hexamer clusters (1,100 AMU)</w:t>
            </w:r>
          </w:p>
          <w:p w14:paraId="4F065637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Gradient sensing array upgrade</w:t>
            </w:r>
          </w:p>
          <w:p w14:paraId="41266016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50:1 mass differential to C₁₂H₂₄ framework</w:t>
            </w:r>
          </w:p>
          <w:p w14:paraId="7840F93D" w14:textId="77777777" w:rsidR="00333206" w:rsidRDefault="00F3750C">
            <w:pPr>
              <w:spacing w:before="20"/>
            </w:pPr>
            <w:r>
              <w:rPr>
                <w:rFonts w:ascii="Arial" w:eastAsia="Arial" w:hAnsi="Arial" w:cs="Arial"/>
                <w:color w:val="5F5E5A"/>
              </w:rPr>
              <w:t>Enhances navigation and activation range</w:t>
            </w:r>
          </w:p>
        </w:tc>
      </w:tr>
    </w:tbl>
    <w:p w14:paraId="66E5E4A1" w14:textId="77777777" w:rsidR="00333206" w:rsidRDefault="00333206">
      <w:pPr>
        <w:pBdr>
          <w:bottom w:val="single" w:sz="4" w:space="0" w:color="CCCCCC"/>
        </w:pBdr>
        <w:spacing w:before="80" w:after="80"/>
      </w:pPr>
    </w:p>
    <w:p w14:paraId="1C80DE84" w14:textId="77777777" w:rsidR="00333206" w:rsidRDefault="00F3750C">
      <w:pPr>
        <w:spacing w:before="40" w:after="20"/>
      </w:pPr>
      <w:r>
        <w:rPr>
          <w:rFonts w:ascii="Arial" w:eastAsia="Arial" w:hAnsi="Arial" w:cs="Arial"/>
          <w:b/>
          <w:bCs/>
          <w:color w:val="5F5E5A"/>
        </w:rPr>
        <w:t>Scavenging and inheritance protocol</w:t>
      </w:r>
    </w:p>
    <w:p w14:paraId="16E52242" w14:textId="77777777" w:rsidR="00333206" w:rsidRDefault="00F3750C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 xml:space="preserve">Dead Frolicker emits passive Ca piezoelectric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signal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Living Frolicker detects and navigates by gradient sense</w:t>
      </w:r>
    </w:p>
    <w:p w14:paraId="6F5FE935" w14:textId="77777777" w:rsidR="00333206" w:rsidRDefault="00F3750C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 xml:space="preserve">Selective incorporation by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deficiency: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takes what it most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lacks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leaves carbon backbone for Gardener chemistry</w:t>
      </w:r>
    </w:p>
    <w:p w14:paraId="4D828F0A" w14:textId="77777777" w:rsidR="00333206" w:rsidRDefault="00F3750C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 xml:space="preserve">Package inheritance: D (Fe–S) always present in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spore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A/B/C/E/F accumulated across lifetime</w:t>
      </w:r>
    </w:p>
    <w:p w14:paraId="24B644FB" w14:textId="77777777" w:rsidR="00333206" w:rsidRDefault="00F3750C">
      <w:pPr>
        <w:spacing w:before="20"/>
      </w:pPr>
      <w:r>
        <w:rPr>
          <w:rFonts w:ascii="Arial" w:eastAsia="Arial" w:hAnsi="Arial" w:cs="Arial"/>
          <w:color w:val="5F5E5A"/>
          <w:sz w:val="18"/>
          <w:szCs w:val="18"/>
        </w:rPr>
        <w:t xml:space="preserve">Cloud messenger cargo: packages E + lipid maze folding pattern + spore units (A–D </w:t>
      </w:r>
      <w:proofErr w:type="gramStart"/>
      <w:r>
        <w:rPr>
          <w:rFonts w:ascii="Arial" w:eastAsia="Arial" w:hAnsi="Arial" w:cs="Arial"/>
          <w:color w:val="5F5E5A"/>
          <w:sz w:val="18"/>
          <w:szCs w:val="18"/>
        </w:rPr>
        <w:t>subset)  ·</w:t>
      </w:r>
      <w:proofErr w:type="gramEnd"/>
      <w:r>
        <w:rPr>
          <w:rFonts w:ascii="Arial" w:eastAsia="Arial" w:hAnsi="Arial" w:cs="Arial"/>
          <w:color w:val="5F5E5A"/>
          <w:sz w:val="18"/>
          <w:szCs w:val="18"/>
        </w:rPr>
        <w:t xml:space="preserve">  message-rich long-range seeding vector</w:t>
      </w:r>
    </w:p>
    <w:p w14:paraId="7F811C8F" w14:textId="77777777" w:rsidR="00333206" w:rsidRDefault="00333206">
      <w:pPr>
        <w:spacing w:before="60"/>
      </w:pPr>
    </w:p>
    <w:p w14:paraId="17318FD0" w14:textId="77777777" w:rsidR="00333206" w:rsidRDefault="00F3750C">
      <w:pPr>
        <w:spacing w:before="40"/>
      </w:pPr>
      <w:r>
        <w:rPr>
          <w:rFonts w:ascii="Arial" w:eastAsia="Arial" w:hAnsi="Arial" w:cs="Arial"/>
          <w:b/>
          <w:bCs/>
          <w:color w:val="0F6E56"/>
          <w:sz w:val="22"/>
          <w:szCs w:val="22"/>
        </w:rPr>
        <w:t>The design propagates. The atoms do not.</w:t>
      </w:r>
    </w:p>
    <w:sectPr w:rsidR="0033320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57D50"/>
    <w:multiLevelType w:val="hybridMultilevel"/>
    <w:tmpl w:val="FCE44D9A"/>
    <w:lvl w:ilvl="0" w:tplc="70446D7A">
      <w:start w:val="1"/>
      <w:numFmt w:val="bullet"/>
      <w:lvlText w:val="●"/>
      <w:lvlJc w:val="left"/>
      <w:pPr>
        <w:ind w:left="720" w:hanging="360"/>
      </w:pPr>
    </w:lvl>
    <w:lvl w:ilvl="1" w:tplc="6BFABD4C">
      <w:start w:val="1"/>
      <w:numFmt w:val="bullet"/>
      <w:lvlText w:val="○"/>
      <w:lvlJc w:val="left"/>
      <w:pPr>
        <w:ind w:left="1440" w:hanging="360"/>
      </w:pPr>
    </w:lvl>
    <w:lvl w:ilvl="2" w:tplc="A6CEAB7C">
      <w:start w:val="1"/>
      <w:numFmt w:val="bullet"/>
      <w:lvlText w:val="■"/>
      <w:lvlJc w:val="left"/>
      <w:pPr>
        <w:ind w:left="2160" w:hanging="360"/>
      </w:pPr>
    </w:lvl>
    <w:lvl w:ilvl="3" w:tplc="5F6E8250">
      <w:start w:val="1"/>
      <w:numFmt w:val="bullet"/>
      <w:lvlText w:val="●"/>
      <w:lvlJc w:val="left"/>
      <w:pPr>
        <w:ind w:left="2880" w:hanging="360"/>
      </w:pPr>
    </w:lvl>
    <w:lvl w:ilvl="4" w:tplc="B89853D8">
      <w:start w:val="1"/>
      <w:numFmt w:val="bullet"/>
      <w:lvlText w:val="○"/>
      <w:lvlJc w:val="left"/>
      <w:pPr>
        <w:ind w:left="3600" w:hanging="360"/>
      </w:pPr>
    </w:lvl>
    <w:lvl w:ilvl="5" w:tplc="F78A3094">
      <w:start w:val="1"/>
      <w:numFmt w:val="bullet"/>
      <w:lvlText w:val="■"/>
      <w:lvlJc w:val="left"/>
      <w:pPr>
        <w:ind w:left="4320" w:hanging="360"/>
      </w:pPr>
    </w:lvl>
    <w:lvl w:ilvl="6" w:tplc="15524ECE">
      <w:start w:val="1"/>
      <w:numFmt w:val="bullet"/>
      <w:lvlText w:val="●"/>
      <w:lvlJc w:val="left"/>
      <w:pPr>
        <w:ind w:left="5040" w:hanging="360"/>
      </w:pPr>
    </w:lvl>
    <w:lvl w:ilvl="7" w:tplc="C65094D4">
      <w:start w:val="1"/>
      <w:numFmt w:val="bullet"/>
      <w:lvlText w:val="●"/>
      <w:lvlJc w:val="left"/>
      <w:pPr>
        <w:ind w:left="5760" w:hanging="360"/>
      </w:pPr>
    </w:lvl>
    <w:lvl w:ilvl="8" w:tplc="33B2B6D6">
      <w:start w:val="1"/>
      <w:numFmt w:val="bullet"/>
      <w:lvlText w:val="●"/>
      <w:lvlJc w:val="left"/>
      <w:pPr>
        <w:ind w:left="6480" w:hanging="360"/>
      </w:pPr>
    </w:lvl>
  </w:abstractNum>
  <w:num w:numId="1" w16cid:durableId="196704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06"/>
    <w:rsid w:val="00040D74"/>
    <w:rsid w:val="00333206"/>
    <w:rsid w:val="00DF1CC9"/>
    <w:rsid w:val="00F3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10E4"/>
  <w15:docId w15:val="{F97DF112-C0B1-4280-AE6A-21921731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2996</Characters>
  <Application>Microsoft Office Word</Application>
  <DocSecurity>0</DocSecurity>
  <Lines>90</Lines>
  <Paragraphs>69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Belinda Bailey</cp:lastModifiedBy>
  <cp:revision>3</cp:revision>
  <dcterms:created xsi:type="dcterms:W3CDTF">2026-04-06T05:37:00Z</dcterms:created>
  <dcterms:modified xsi:type="dcterms:W3CDTF">2026-04-06T05:37:00Z</dcterms:modified>
</cp:coreProperties>
</file>