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Klassikaal multiple choice vragen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Bedrijfsprocessen: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Bedrijfsproces tabel mag ingevuld met allemaal mogelijke processen zolang deze goed zijn, niet strict alleen die in de presentatie staan, e.g. Email campagne voor marketing, ziekte management bij personeelszaken etc.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Niveaus: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Management ondersteunend ESS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Bedrijfsinformatie MIS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Beslissings ondersteunende DSS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Transactieverwerkende TPS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Enterprise systemen: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Systemen voor koppelen management niveaus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ERP </w:t>
        <w:tab/>
        <w:t xml:space="preserve">Enterprise Resource Planning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SCM</w:t>
        <w:tab/>
        <w:t xml:space="preserve">Supply Chain Management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CRM </w:t>
        <w:tab/>
        <w:t xml:space="preserve">Customer Relation Management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KMS </w:t>
        <w:tab/>
        <w:t xml:space="preserve">Knowledge Management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E-Business: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Maakt gebruik van digitale technologie en het Internet om alle belangrijke zakelijke processen digitaal te ondersteunen.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E-Commerce: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Kopen en verkopen van goederen en diensten via het internet.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E-Government: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Met behulp van Internet diensten en informatie leveren aan burgers.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OVERSLAAN: p. 50 - p. 59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Functies: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CEO: </w:t>
        <w:tab/>
        <w:tab/>
        <w:t xml:space="preserve">Chief Executive Officer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CFO: </w:t>
        <w:tab/>
        <w:tab/>
        <w:t xml:space="preserve">Chief Financial Officer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CIO: </w:t>
        <w:tab/>
        <w:tab/>
        <w:t xml:space="preserve">Chief Information Officer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C(I)SO </w:t>
        <w:tab/>
        <w:t xml:space="preserve">Chief (Information) Security Officer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CPO: </w:t>
        <w:tab/>
        <w:tab/>
        <w:t xml:space="preserve">Chief Privacy Officer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CKO: </w:t>
        <w:tab/>
        <w:tab/>
        <w:t xml:space="preserve">Chief Knowledge Officer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CDO: </w:t>
        <w:tab/>
        <w:tab/>
        <w:t xml:space="preserve">Chief Data Officer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IT-governance: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Hierbij besluit het management over de strategie en het beleid voor het gebruik van informatietechnologie binnen een organisatie.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De vraag hoe de afdeling informatiesystemen :(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H3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IT systemen zorgen voor “plattere” organisatie, e.g. in plaats van 5 lagen in de hiërarchie, zijn er 3, doordat zij ervoor zorgen dat informatie uit een lage laag makkelijk naar boven komt, dus is er minder management tussen nodig.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Model van Porter: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 xml:space="preserve">Breekt een industrie in een aantal logische delen; Analyseert deze delen en het geheel.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 xml:space="preserve">Geeft inzicht in de structuur van een industrie en de omgeving ervan.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 xml:space="preserve">Geeft inzicht in de concurrentiekrachten in een industrie.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 xml:space="preserve">Kan toegepast worden om te bepalen hoe IT van invloed is op deze concurrentieklachten.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 xml:space="preserve">Wordt dus gebruikt als analyse van de industrie in het heden, om zo te zien welke onderdelen van bedrijf verbeterd/gemoderniseerd kunnen worden.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Bargaining power of buyers: Gone up a lot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Bargaining power of suppliers: Gone down a bit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Threat of substitute products: Gone up a bit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Threat of new entrants: Gone down a lot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Strategische informatiesystemen voor concurrentievoordeel: managementvragen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Behouden van concurrentievoordeel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IT afstemmen op Bedrijfsdoelstellingen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