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IT infrastructuur: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Computing platforms voor computing services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Telecommunicatie services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Data management services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Applicatie software services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Systeembeheer diensten, e.g. Helpdesk, updates, etc.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IT management, educatie en andere diensten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Het verband tussen bedrijf, IT-infrastructuur en te leveren diensten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Bedrijfsstrategie heeft effect met invloed op bijvoorbeeld taal voor systemen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IT-strategie: Bijvoorbeeld kosten van oude applicaties waar support voor gedropped wordt.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Informatietechnologie: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Lees goed door! Enkele belangrijke standaarden in computergebruik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OS platforms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Server level: 65% Linux/Unix, 35% Windows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Client level: 90% Windows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