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rPr>
          <w:rFonts w:ascii="Arial" w:cs="Arial" w:eastAsia="Arial" w:hAnsi="Arial"/>
        </w:rP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A3C5E"/>
          <w:sz w:val="72"/>
          <w:szCs w:val="72"/>
        </w:rPr>
        <w:t xml:space="preserve">🐾  PAWTAL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0D7377"/>
          <w:sz w:val="40"/>
          <w:szCs w:val="40"/>
        </w:rPr>
        <w:t xml:space="preserve">Business Overview</w:t>
      </w:r>
    </w:p>
    <w:p>
      <w:pPr>
        <w:spacing w:after="320" w:before="0"/>
        <w:jc w:val="center"/>
      </w:pPr>
      <w:r>
        <w:rPr>
          <w:rFonts w:ascii="Arial" w:cs="Arial" w:eastAsia="Arial" w:hAnsi="Arial"/>
          <w:color w:val="64748B"/>
          <w:sz w:val="26"/>
          <w:szCs w:val="26"/>
        </w:rPr>
        <w:t xml:space="preserve">Connecting Pet Service Providers with Pet Owners in Bangkok</w:t>
      </w:r>
    </w:p>
    <w:tbl>
      <w:tblPr>
        <w:tblW w:type="dxa" w:w="54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</w:tblGrid>
      <w:tr>
        <w:tc>
          <w:tcPr>
            <w:tcW w:type="dxa" w:w="2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Version</w:t>
            </w:r>
          </w:p>
        </w:tc>
        <w:tc>
          <w:tcPr>
            <w:tcW w:type="dxa" w:w="2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2.0 (with Citations)</w:t>
            </w:r>
          </w:p>
        </w:tc>
      </w:tr>
      <w:tr>
        <w:tc>
          <w:tcPr>
            <w:tcW w:type="dxa" w:w="2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Date</w:t>
            </w:r>
          </w:p>
        </w:tc>
        <w:tc>
          <w:tcPr>
            <w:tcW w:type="dxa" w:w="2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March 2026</w:t>
            </w:r>
          </w:p>
        </w:tc>
      </w:tr>
      <w:tr>
        <w:tc>
          <w:tcPr>
            <w:tcW w:type="dxa" w:w="2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Owner</w:t>
            </w:r>
          </w:p>
        </w:tc>
        <w:tc>
          <w:tcPr>
            <w:tcW w:type="dxa" w:w="2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Product Squad</w:t>
            </w:r>
          </w:p>
        </w:tc>
      </w:tr>
      <w:tr>
        <w:tc>
          <w:tcPr>
            <w:tcW w:type="dxa" w:w="2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Status</w:t>
            </w:r>
          </w:p>
        </w:tc>
        <w:tc>
          <w:tcPr>
            <w:tcW w:type="dxa" w:w="2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Internal — Confidential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D7377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1.  Executive Summary</w:t>
      </w:r>
    </w:p>
    <w:p>
      <w:pPr>
        <w:spacing w:after="120" w:before="60"/>
      </w:pPr>
      <w:r>
        <w:rPr>
          <w:rFonts w:ascii="Arial" w:cs="Arial" w:eastAsia="Arial" w:hAnsi="Arial"/>
          <w:b/>
          <w:bCs/>
        </w:rPr>
        <w:t xml:space="preserve">Pawtal </w:t>
      </w:r>
      <w:r>
        <w:rPr>
          <w:rFonts w:ascii="Arial" w:cs="Arial" w:eastAsia="Arial" w:hAnsi="Arial"/>
        </w:rPr>
        <w:t xml:space="preserve">is a digital marketplace connecting pet service providers — including groomers, veterinary clinics, boarding facilities, and trainers — with pet owners across Bangkok, with an initial focus on the Sukhumvit corridor. The platform launches in two phases: </w:t>
      </w:r>
      <w:r>
        <w:rPr>
          <w:rFonts w:ascii="Arial" w:cs="Arial" w:eastAsia="Arial" w:hAnsi="Arial"/>
          <w:b/>
          <w:bCs/>
        </w:rPr>
        <w:t xml:space="preserve">MVP#1 </w:t>
      </w:r>
      <w:r>
        <w:rPr>
          <w:rFonts w:ascii="Arial" w:cs="Arial" w:eastAsia="Arial" w:hAnsi="Arial"/>
        </w:rPr>
        <w:t xml:space="preserve">(provider acquisition and lead capture) and </w:t>
      </w:r>
      <w:r>
        <w:rPr>
          <w:rFonts w:ascii="Arial" w:cs="Arial" w:eastAsia="Arial" w:hAnsi="Arial"/>
          <w:b/>
          <w:bCs/>
        </w:rPr>
        <w:t xml:space="preserve">MVP#2+ </w:t>
      </w:r>
      <w:r>
        <w:rPr>
          <w:rFonts w:ascii="Arial" w:cs="Arial" w:eastAsia="Arial" w:hAnsi="Arial"/>
        </w:rPr>
        <w:t xml:space="preserve">(full customer booking and payment platform).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Market Opportunity</w:t>
      </w:r>
    </w:p>
    <w:p>
      <w:pPr>
        <w:spacing w:after="120" w:before="60"/>
      </w:pPr>
      <w:r>
        <w:rPr>
          <w:rFonts w:ascii="Arial" w:cs="Arial" w:eastAsia="Arial" w:hAnsi="Arial"/>
        </w:rPr>
        <w:t xml:space="preserve">Thailand's pet industry reached an estimated </w:t>
      </w:r>
      <w:r>
        <w:rPr>
          <w:rFonts w:ascii="Arial" w:cs="Arial" w:eastAsia="Arial" w:hAnsi="Arial"/>
          <w:b/>
          <w:bCs/>
        </w:rPr>
        <w:t xml:space="preserve">฿75 billion in 2024</w:t>
      </w:r>
      <w:r>
        <w:rPr>
          <w:rStyle w:val="FootnoteReference"/>
        </w:rPr>
        <w:footnoteReference w:id="1"/>
      </w:r>
      <w:r>
        <w:rPr>
          <w:rFonts w:ascii="Arial" w:cs="Arial" w:eastAsia="Arial" w:hAnsi="Arial"/>
        </w:rPr>
        <w:t xml:space="preserve">, growing at </w:t>
      </w:r>
      <w:r>
        <w:rPr>
          <w:rFonts w:ascii="Arial" w:cs="Arial" w:eastAsia="Arial" w:hAnsi="Arial"/>
          <w:b/>
          <w:bCs/>
        </w:rPr>
        <w:t xml:space="preserve">12.4% year-on-year</w:t>
      </w:r>
      <w:r>
        <w:rPr>
          <w:rStyle w:val="FootnoteReference"/>
        </w:rPr>
        <w:footnoteReference w:id="1"/>
      </w:r>
      <w:r>
        <w:rPr>
          <w:rFonts w:ascii="Arial" w:cs="Arial" w:eastAsia="Arial" w:hAnsi="Arial"/>
        </w:rPr>
        <w:t xml:space="preserve">, and is projected to reach </w:t>
      </w:r>
      <w:r>
        <w:rPr>
          <w:rFonts w:ascii="Arial" w:cs="Arial" w:eastAsia="Arial" w:hAnsi="Arial"/>
          <w:b/>
          <w:bCs/>
        </w:rPr>
        <w:t xml:space="preserve">฿92 billion in 2025</w:t>
      </w:r>
      <w:r>
        <w:rPr>
          <w:rStyle w:val="FootnoteReference"/>
        </w:rPr>
        <w:footnoteReference w:id="2"/>
      </w:r>
      <w:r>
        <w:rPr>
          <w:rFonts w:ascii="Arial" w:cs="Arial" w:eastAsia="Arial" w:hAnsi="Arial"/>
        </w:rPr>
        <w:t xml:space="preserve">. The pet services sub-segment — encompassing grooming, boarding, veterinary, and related services — is expanding at a </w:t>
      </w:r>
      <w:r>
        <w:rPr>
          <w:rFonts w:ascii="Arial" w:cs="Arial" w:eastAsia="Arial" w:hAnsi="Arial"/>
          <w:b/>
          <w:bCs/>
        </w:rPr>
        <w:t xml:space="preserve">CAGR of 11.1%</w:t>
      </w:r>
      <w:r>
        <w:rPr>
          <w:rStyle w:val="FootnoteReference"/>
        </w:rPr>
        <w:footnoteReference w:id="5"/>
      </w:r>
      <w:r>
        <w:rPr>
          <w:rFonts w:ascii="Arial" w:cs="Arial" w:eastAsia="Arial" w:hAnsi="Arial"/>
        </w:rPr>
        <w:t xml:space="preserve">, fuelled by the "pet humanisation" trend in which Thai consumers increasingly treat pets as family members.</w:t>
      </w:r>
      <w:r>
        <w:rPr>
          <w:rStyle w:val="FootnoteReference"/>
        </w:rPr>
        <w:footnoteReference w:id="10"/>
      </w:r>
    </w:p>
    <w:p>
      <w:pPr>
        <w:spacing w:after="120" w:before="60"/>
      </w:pPr>
      <w:r>
        <w:rPr>
          <w:rFonts w:ascii="Arial" w:cs="Arial" w:eastAsia="Arial" w:hAnsi="Arial"/>
        </w:rPr>
        <w:t xml:space="preserve">Thailand has over </w:t>
      </w:r>
      <w:r>
        <w:rPr>
          <w:rFonts w:ascii="Arial" w:cs="Arial" w:eastAsia="Arial" w:hAnsi="Arial"/>
          <w:b/>
          <w:bCs/>
        </w:rPr>
        <w:t xml:space="preserve">5.08 million registered pets</w:t>
      </w:r>
      <w:r>
        <w:rPr>
          <w:rStyle w:val="FootnoteReference"/>
        </w:rPr>
        <w:footnoteReference w:id="3"/>
      </w:r>
      <w:r>
        <w:rPr>
          <w:rFonts w:ascii="Arial" w:cs="Arial" w:eastAsia="Arial" w:hAnsi="Arial"/>
        </w:rPr>
        <w:t xml:space="preserve">, with </w:t>
      </w:r>
      <w:r>
        <w:rPr>
          <w:rFonts w:ascii="Arial" w:cs="Arial" w:eastAsia="Arial" w:hAnsi="Arial"/>
          <w:b/>
          <w:bCs/>
        </w:rPr>
        <w:t xml:space="preserve">70%+ of Thai households owning at least one pet.</w:t>
      </w:r>
      <w:r>
        <w:rPr>
          <w:rStyle w:val="FootnoteReference"/>
        </w:rPr>
        <w:footnoteReference w:id="7"/>
      </w:r>
      <w:r>
        <w:rPr>
          <w:rFonts w:ascii="Arial" w:cs="Arial" w:eastAsia="Arial" w:hAnsi="Arial"/>
        </w:rPr>
        <w:t xml:space="preserve"> Pet owners spend an average of </w:t>
      </w:r>
      <w:r>
        <w:rPr>
          <w:rFonts w:ascii="Arial" w:cs="Arial" w:eastAsia="Arial" w:hAnsi="Arial"/>
          <w:b/>
          <w:bCs/>
        </w:rPr>
        <w:t xml:space="preserve">฿41,100 per pet annually</w:t>
      </w:r>
      <w:r>
        <w:rPr>
          <w:rStyle w:val="FootnoteReference"/>
        </w:rPr>
        <w:footnoteReference w:id="7"/>
      </w:r>
      <w:r>
        <w:rPr>
          <w:rFonts w:ascii="Arial" w:cs="Arial" w:eastAsia="Arial" w:hAnsi="Arial"/>
        </w:rPr>
        <w:t xml:space="preserve"> — five times the cost of unmanaged pets — signalling strong willingness to pay for professional services.</w:t>
      </w:r>
    </w:p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pBdr>
          <w:bottom w:val="single" w:color="0D7377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2.  Business Overview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2.1  Value Proposition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 Pet Service Providers</w:t>
            </w:r>
          </w:p>
        </w:tc>
        <w:tc>
          <w:tcPr>
            <w:tcW w:type="dxa" w:w="504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 Pet Owners (MVP#2+)</w:t>
            </w:r>
          </w:p>
        </w:tc>
      </w:tr>
      <w:tr>
        <w:tc>
          <w:tcPr>
            <w:tcW w:type="dxa" w:w="50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New digital client acquisition — beyond LINE &amp; Facebook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Automated appointment scheduling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Verified digital profile with reviews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 months commission-free onboarding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24-hour support from Pawtal business team</w:t>
            </w:r>
          </w:p>
        </w:tc>
        <w:tc>
          <w:tcPr>
            <w:tcW w:type="dxa" w:w="50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D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Discover verified pet service providers nearby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Transparent pricing and service menus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Online booking + credit wallet payments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Review system and vetted provider badges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Map-based provider discovery (Sukhumvit zone)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2.2  Business Model &amp; Revenue Streams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4080"/>
      </w:tblGrid>
      <w:tr>
        <w:tc>
          <w:tcPr>
            <w:tcW w:type="dxa" w:w="2000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4000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Revenue Stream</w:t>
            </w:r>
          </w:p>
        </w:tc>
        <w:tc>
          <w:tcPr>
            <w:tcW w:type="dxa" w:w="4080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 / Rate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MVP#1</w:t>
            </w:r>
          </w:p>
        </w:tc>
        <w:tc>
          <w:tcPr>
            <w:tcW w:type="dxa" w:w="4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B2B Provider Acquisition (Lead Capture)</w:t>
            </w:r>
          </w:p>
        </w:tc>
        <w:tc>
          <w:tcPr>
            <w:tcW w:type="dxa" w:w="40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Free onboarding — no revenue in MVP#1; relationship-building phase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MVP#2</w:t>
            </w:r>
          </w:p>
        </w:tc>
        <w:tc>
          <w:tcPr>
            <w:tcW w:type="dxa" w:w="4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Commission on Bookings</w:t>
            </w:r>
          </w:p>
        </w:tc>
        <w:tc>
          <w:tcPr>
            <w:tcW w:type="dxa" w:w="40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~10–15% per completed booking transaction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MVP#2</w:t>
            </w:r>
          </w:p>
        </w:tc>
        <w:tc>
          <w:tcPr>
            <w:tcW w:type="dxa" w:w="4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Provider Subscription (Premium Listing)</w:t>
            </w:r>
          </w:p>
        </w:tc>
        <w:tc>
          <w:tcPr>
            <w:tcW w:type="dxa" w:w="40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Monthly SaaS tier: Basic (free) / Pro / Enterprise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Scale</w:t>
            </w:r>
          </w:p>
        </w:tc>
        <w:tc>
          <w:tcPr>
            <w:tcW w:type="dxa" w:w="4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Promoted Listings &amp; In-app Advertising</w:t>
            </w:r>
          </w:p>
        </w:tc>
        <w:tc>
          <w:tcPr>
            <w:tcW w:type="dxa" w:w="40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CPC/CPM advertising to providers seeking visibility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Scale</w:t>
            </w:r>
          </w:p>
        </w:tc>
        <w:tc>
          <w:tcPr>
            <w:tcW w:type="dxa" w:w="4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Data &amp; Analytics Dashboard</w:t>
            </w:r>
          </w:p>
        </w:tc>
        <w:tc>
          <w:tcPr>
            <w:tcW w:type="dxa" w:w="40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Premium analytics for providers (booking trends, review insights)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2.3  Key Stakeholders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740"/>
        <w:gridCol w:w="2740"/>
      </w:tblGrid>
      <w:tr>
        <w:tc>
          <w:tcPr>
            <w:tcW w:type="dxa" w:w="2200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Stakeholder</w:t>
            </w:r>
          </w:p>
        </w:tc>
        <w:tc>
          <w:tcPr>
            <w:tcW w:type="dxa" w:w="2400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740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Need</w:t>
            </w:r>
          </w:p>
        </w:tc>
        <w:tc>
          <w:tcPr>
            <w:tcW w:type="dxa" w:w="2740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Pawtal Engagement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Pet Service Providers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Primary user (MVP#1)</w:t>
            </w:r>
          </w:p>
        </w:tc>
        <w:tc>
          <w:tcPr>
            <w:tcW w:type="dxa" w:w="27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Client acquisition, scheduling, income stability</w:t>
            </w:r>
          </w:p>
        </w:tc>
        <w:tc>
          <w:tcPr>
            <w:tcW w:type="dxa" w:w="27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Landing page → Interest form → Onboarding call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Pet Owners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End customer (MVP#2+)</w:t>
            </w:r>
          </w:p>
        </w:tc>
        <w:tc>
          <w:tcPr>
            <w:tcW w:type="dxa" w:w="27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Find trusted providers near home, book &amp; pay conveniently</w:t>
            </w:r>
          </w:p>
        </w:tc>
        <w:tc>
          <w:tcPr>
            <w:tcW w:type="dxa" w:w="27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App → Browse map → Book → Pay via wallet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Business Dev Team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Internal</w:t>
            </w:r>
          </w:p>
        </w:tc>
        <w:tc>
          <w:tcPr>
            <w:tcW w:type="dxa" w:w="27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Signed provider partners, quality assurance</w:t>
            </w:r>
          </w:p>
        </w:tc>
        <w:tc>
          <w:tcPr>
            <w:tcW w:type="dxa" w:w="27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CRM dashboard to manage leads and follow-ups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Product Squad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Internal</w:t>
            </w:r>
          </w:p>
        </w:tc>
        <w:tc>
          <w:tcPr>
            <w:tcW w:type="dxa" w:w="27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Ship fast, measure, iterate</w:t>
            </w:r>
          </w:p>
        </w:tc>
        <w:tc>
          <w:tcPr>
            <w:tcW w:type="dxa" w:w="27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Agile sprint cycles, data-driven feature prioritisation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Investors / Management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Internal</w:t>
            </w:r>
          </w:p>
        </w:tc>
        <w:tc>
          <w:tcPr>
            <w:tcW w:type="dxa" w:w="27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ROI, market share, growth trajectory</w:t>
            </w:r>
          </w:p>
        </w:tc>
        <w:tc>
          <w:tcPr>
            <w:tcW w:type="dxa" w:w="27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Monthly KPI dashboard + quarterly roadmap review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D7377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3.  Market Context</w:t>
      </w:r>
    </w:p>
    <w:p>
      <w:pPr>
        <w:spacing w:after="120" w:before="60"/>
      </w:pPr>
      <w:r>
        <w:rPr>
          <w:rFonts w:ascii="Arial" w:cs="Arial" w:eastAsia="Arial" w:hAnsi="Arial"/>
        </w:rPr>
        <w:t xml:space="preserve">The following market data contextualises the opportunity Pawtal is entering. All figures are sourced from independently verifiable research organisations and government bodies.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3.1  Thailand Pet Industry Size &amp; Growth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360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Figure</w:t>
            </w:r>
          </w:p>
        </w:tc>
        <w:tc>
          <w:tcPr>
            <w:tcW w:type="dxa" w:w="3360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3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Total pet market value (2024)</w:t>
            </w:r>
          </w:p>
        </w:tc>
        <w:tc>
          <w:tcPr>
            <w:tcW w:type="dxa" w:w="3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฿75 billion (~USD 2.1B)</w:t>
            </w:r>
          </w:p>
        </w:tc>
        <w:tc>
          <w:tcPr>
            <w:tcW w:type="dxa" w:w="3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ttb analytics¹</w:t>
            </w:r>
          </w:p>
        </w:tc>
      </w:tr>
      <w:tr>
        <w:tc>
          <w:tcPr>
            <w:tcW w:type="dxa" w:w="3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Projected market value (2025)</w:t>
            </w:r>
          </w:p>
        </w:tc>
        <w:tc>
          <w:tcPr>
            <w:tcW w:type="dxa" w:w="3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฿92 billion</w:t>
            </w:r>
          </w:p>
        </w:tc>
        <w:tc>
          <w:tcPr>
            <w:tcW w:type="dxa" w:w="3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Pet Fair SEA 2025²</w:t>
            </w:r>
          </w:p>
        </w:tc>
      </w:tr>
      <w:tr>
        <w:tc>
          <w:tcPr>
            <w:tcW w:type="dxa" w:w="3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Average annual growth (2019–2024)</w:t>
            </w:r>
          </w:p>
        </w:tc>
        <w:tc>
          <w:tcPr>
            <w:tcW w:type="dxa" w:w="3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17.5% CAGR</w:t>
            </w:r>
          </w:p>
        </w:tc>
        <w:tc>
          <w:tcPr>
            <w:tcW w:type="dxa" w:w="3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ttb analytics¹</w:t>
            </w:r>
          </w:p>
        </w:tc>
      </w:tr>
      <w:tr>
        <w:tc>
          <w:tcPr>
            <w:tcW w:type="dxa" w:w="3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Registered pet population (2024)</w:t>
            </w:r>
          </w:p>
        </w:tc>
        <w:tc>
          <w:tcPr>
            <w:tcW w:type="dxa" w:w="3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5.08 million</w:t>
            </w:r>
          </w:p>
        </w:tc>
        <w:tc>
          <w:tcPr>
            <w:tcW w:type="dxa" w:w="3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Kasetsart University³</w:t>
            </w:r>
          </w:p>
        </w:tc>
      </w:tr>
      <w:tr>
        <w:tc>
          <w:tcPr>
            <w:tcW w:type="dxa" w:w="3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Pet ownership rate (Thai households)</w:t>
            </w:r>
          </w:p>
        </w:tc>
        <w:tc>
          <w:tcPr>
            <w:tcW w:type="dxa" w:w="3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&gt;70%</w:t>
            </w:r>
          </w:p>
        </w:tc>
        <w:tc>
          <w:tcPr>
            <w:tcW w:type="dxa" w:w="3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TGM Research⁷</w:t>
            </w:r>
          </w:p>
        </w:tc>
      </w:tr>
      <w:tr>
        <w:tc>
          <w:tcPr>
            <w:tcW w:type="dxa" w:w="3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Average annual spend per pet</w:t>
            </w:r>
          </w:p>
        </w:tc>
        <w:tc>
          <w:tcPr>
            <w:tcW w:type="dxa" w:w="3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฿41,100 (~USD 1,140)</w:t>
            </w:r>
          </w:p>
        </w:tc>
        <w:tc>
          <w:tcPr>
            <w:tcW w:type="dxa" w:w="3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TGM Research⁷</w:t>
            </w:r>
          </w:p>
        </w:tc>
      </w:tr>
      <w:tr>
        <w:tc>
          <w:tcPr>
            <w:tcW w:type="dxa" w:w="3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Pet services market (2023 revenue)</w:t>
            </w:r>
          </w:p>
        </w:tc>
        <w:tc>
          <w:tcPr>
            <w:tcW w:type="dxa" w:w="3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USD 80.0 million</w:t>
            </w:r>
          </w:p>
        </w:tc>
        <w:tc>
          <w:tcPr>
            <w:tcW w:type="dxa" w:w="3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Grand View Research⁵</w:t>
            </w:r>
          </w:p>
        </w:tc>
      </w:tr>
      <w:tr>
        <w:tc>
          <w:tcPr>
            <w:tcW w:type="dxa" w:w="3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Pet services market forecast (2030)</w:t>
            </w:r>
          </w:p>
        </w:tc>
        <w:tc>
          <w:tcPr>
            <w:tcW w:type="dxa" w:w="3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USD 166.8 million (CAGR 11.1%)</w:t>
            </w:r>
          </w:p>
        </w:tc>
        <w:tc>
          <w:tcPr>
            <w:tcW w:type="dxa" w:w="3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Grand View Research⁵</w:t>
            </w:r>
          </w:p>
        </w:tc>
      </w:tr>
      <w:tr>
        <w:tc>
          <w:tcPr>
            <w:tcW w:type="dxa" w:w="3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Pet grooming market (2024)</w:t>
            </w:r>
          </w:p>
        </w:tc>
        <w:tc>
          <w:tcPr>
            <w:tcW w:type="dxa" w:w="3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USD 70.0 million</w:t>
            </w:r>
          </w:p>
        </w:tc>
        <w:tc>
          <w:tcPr>
            <w:tcW w:type="dxa" w:w="3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Grand View Research⁶</w:t>
            </w:r>
          </w:p>
        </w:tc>
      </w:tr>
      <w:tr>
        <w:tc>
          <w:tcPr>
            <w:tcW w:type="dxa" w:w="3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Pet grooming forecast (2030)</w:t>
            </w:r>
          </w:p>
        </w:tc>
        <w:tc>
          <w:tcPr>
            <w:tcW w:type="dxa" w:w="3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USD 117.0 million (CAGR 9.2%)</w:t>
            </w:r>
          </w:p>
        </w:tc>
        <w:tc>
          <w:tcPr>
            <w:tcW w:type="dxa" w:w="3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Grand View Research⁶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</w:rPr>
        <w:t xml:space="preserve">¹ </w:t>
      </w:r>
      <w:hyperlink w:history="1" r:id="rId9owpkyv8zcwjoqye-xydx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Nation Thailand — Pet Economy on the Rise</w:t>
        </w:r>
      </w:hyperlink>
      <w:r>
        <w:rPr>
          <w:rFonts w:ascii="Arial" w:cs="Arial" w:eastAsia="Arial" w:hAnsi="Arial"/>
        </w:rPr>
        <w:t xml:space="preserve">  ²  </w:t>
      </w:r>
      <w:hyperlink w:history="1" r:id="rIdwqdh4uuddmsrtupqdsppf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Pet Fair South-East Asia</w:t>
        </w:r>
      </w:hyperlink>
      <w:r>
        <w:rPr>
          <w:rFonts w:ascii="Arial" w:cs="Arial" w:eastAsia="Arial" w:hAnsi="Arial"/>
        </w:rPr>
        <w:t xml:space="preserve">  ³  Kasetsart University (2024)  ⁵  </w:t>
      </w:r>
      <w:hyperlink w:history="1" r:id="rIdkoxg9zawecja8ylhyjxbr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Grand View Research — Pet Services</w:t>
        </w:r>
      </w:hyperlink>
      <w:r>
        <w:rPr>
          <w:rFonts w:ascii="Arial" w:cs="Arial" w:eastAsia="Arial" w:hAnsi="Arial"/>
        </w:rPr>
        <w:t xml:space="preserve">  ⁶  </w:t>
      </w:r>
      <w:hyperlink w:history="1" r:id="rId7x7_hqvcgxyxsxvyxsmlj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Grand View Research — Pet Grooming</w:t>
        </w:r>
      </w:hyperlink>
      <w:r>
        <w:rPr>
          <w:rFonts w:ascii="Arial" w:cs="Arial" w:eastAsia="Arial" w:hAnsi="Arial"/>
        </w:rPr>
        <w:t xml:space="preserve">  ⁷  </w:t>
      </w:r>
      <w:hyperlink w:history="1" r:id="rIdxnqxy6odle4hh9bowpjfu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TGM Research Pet Care Survey 2024</w:t>
        </w:r>
      </w:hyperlink>
    </w:p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3.2  Digital Context</w:t>
      </w:r>
    </w:p>
    <w:p>
      <w:pPr>
        <w:spacing w:after="120" w:before="60"/>
      </w:pPr>
      <w:r>
        <w:rPr>
          <w:rFonts w:ascii="Arial" w:cs="Arial" w:eastAsia="Arial" w:hAnsi="Arial"/>
        </w:rPr>
        <w:t xml:space="preserve">Thailand has </w:t>
      </w:r>
      <w:r>
        <w:rPr>
          <w:rFonts w:ascii="Arial" w:cs="Arial" w:eastAsia="Arial" w:hAnsi="Arial"/>
          <w:b/>
          <w:bCs/>
        </w:rPr>
        <w:t xml:space="preserve">91.2% internet penetration</w:t>
      </w:r>
      <w:r>
        <w:rPr>
          <w:rStyle w:val="FootnoteReference"/>
        </w:rPr>
        <w:footnoteReference w:id="8"/>
      </w:r>
      <w:r>
        <w:rPr>
          <w:rFonts w:ascii="Arial" w:cs="Arial" w:eastAsia="Arial" w:hAnsi="Arial"/>
        </w:rPr>
        <w:t xml:space="preserve"> and </w:t>
      </w:r>
      <w:r>
        <w:rPr>
          <w:rFonts w:ascii="Arial" w:cs="Arial" w:eastAsia="Arial" w:hAnsi="Arial"/>
          <w:b/>
          <w:bCs/>
        </w:rPr>
        <w:t xml:space="preserve">136.1% cellular mobile connections,</w:t>
      </w:r>
      <w:r>
        <w:rPr>
          <w:rStyle w:val="FootnoteReference"/>
        </w:rPr>
        <w:footnoteReference w:id="8"/>
      </w:r>
      <w:r>
        <w:rPr>
          <w:rFonts w:ascii="Arial" w:cs="Arial" w:eastAsia="Arial" w:hAnsi="Arial"/>
        </w:rPr>
        <w:t xml:space="preserve"> making it one of the most digitally connected markets in Southeast Asia. </w:t>
      </w:r>
      <w:r>
        <w:rPr>
          <w:rFonts w:ascii="Arial" w:cs="Arial" w:eastAsia="Arial" w:hAnsi="Arial"/>
          <w:b/>
          <w:bCs/>
        </w:rPr>
        <w:t xml:space="preserve">68.3% of e-commerce transactions occur on mobile devices.</w:t>
      </w:r>
      <w:r>
        <w:rPr>
          <w:rStyle w:val="FootnoteReference"/>
        </w:rPr>
        <w:footnoteReference w:id="8"/>
      </w:r>
      <w:r>
        <w:rPr>
          <w:rFonts w:ascii="Arial" w:cs="Arial" w:eastAsia="Arial" w:hAnsi="Arial"/>
        </w:rPr>
        <w:t xml:space="preserve"> This mobile-first behaviour directly supports Pawtal's product strategy of prioritising a responsive web experience and LINE OA integration.</w:t>
      </w:r>
    </w:p>
    <w:p>
      <w:pPr>
        <w:spacing w:after="120" w:before="60"/>
      </w:pPr>
      <w:r>
        <w:rPr>
          <w:rFonts w:ascii="Arial" w:cs="Arial" w:eastAsia="Arial" w:hAnsi="Arial"/>
        </w:rPr>
        <w:t xml:space="preserve">LINE is the dominant messaging platform in Thailand with over </w:t>
      </w:r>
      <w:r>
        <w:rPr>
          <w:rFonts w:ascii="Arial" w:cs="Arial" w:eastAsia="Arial" w:hAnsi="Arial"/>
          <w:b/>
          <w:bCs/>
        </w:rPr>
        <w:t xml:space="preserve">6 million LINE Official Account (LINE OA) registrations</w:t>
      </w:r>
      <w:r>
        <w:rPr>
          <w:rStyle w:val="FootnoteReference"/>
        </w:rPr>
        <w:footnoteReference w:id="9"/>
      </w:r>
      <w:r>
        <w:rPr>
          <w:rFonts w:ascii="Arial" w:cs="Arial" w:eastAsia="Arial" w:hAnsi="Arial"/>
        </w:rPr>
        <w:t xml:space="preserve">, and LINE OA Broadcast usage has grown </w:t>
      </w:r>
      <w:r>
        <w:rPr>
          <w:rFonts w:ascii="Arial" w:cs="Arial" w:eastAsia="Arial" w:hAnsi="Arial"/>
          <w:b/>
          <w:bCs/>
        </w:rPr>
        <w:t xml:space="preserve">91% per year on average since 2021.</w:t>
      </w:r>
      <w:r>
        <w:rPr>
          <w:rStyle w:val="FootnoteReference"/>
        </w:rPr>
        <w:footnoteReference w:id="9"/>
      </w:r>
      <w:r>
        <w:rPr>
          <w:rFonts w:ascii="Arial" w:cs="Arial" w:eastAsia="Arial" w:hAnsi="Arial"/>
        </w:rPr>
        <w:t xml:space="preserve"> This infrastructure underpins Pawtal's MVP#1 provider acquisition channel.</w:t>
      </w:r>
    </w:p>
    <w:p>
      <w:r>
        <w:br w:type="page"/>
      </w:r>
    </w:p>
    <w:p>
      <w:pPr>
        <w:pStyle w:val="Heading1"/>
        <w:pBdr>
          <w:bottom w:val="single" w:color="0D7377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4.  Product Roadmap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3360"/>
        <w:gridCol w:w="2920"/>
      </w:tblGrid>
      <w:tr>
        <w:tc>
          <w:tcPr>
            <w:tcW w:type="dxa" w:w="1400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400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360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Features</w:t>
            </w:r>
          </w:p>
        </w:tc>
        <w:tc>
          <w:tcPr>
            <w:tcW w:type="dxa" w:w="2920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Success Metric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MVP#1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" w:before="40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Provider Acquisition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B2B Lead Capture</w:t>
            </w:r>
          </w:p>
        </w:tc>
        <w:tc>
          <w:tcPr>
            <w:tcW w:type="dxa" w:w="3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Marketing landing page (desktop + mobile)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3-step interest registration form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PDPA-compliant consent capture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Automated confirmation email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Internal CRM for lead management</w:t>
            </w:r>
          </w:p>
        </w:tc>
        <w:tc>
          <w:tcPr>
            <w:tcW w:type="dxa" w:w="29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50+ qualified provider leads by end of Sprint 2; &gt;30% conversion to onboarding call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737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MVP#2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" w:before="40"/>
            </w:pPr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Customer Launch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B2C Platform</w:t>
            </w:r>
          </w:p>
        </w:tc>
        <w:tc>
          <w:tcPr>
            <w:tcW w:type="dxa" w:w="3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Customer registration &amp; login (email + social)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Map-based provider browse (Sukhumvit zone)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Provider profile pages (services, pricing, photos)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Online booking &amp; appointment management</w:t>
            </w:r>
          </w:p>
        </w:tc>
        <w:tc>
          <w:tcPr>
            <w:tcW w:type="dxa" w:w="29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100+ customer registrations in first 30 days; 10+ bookings completed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47556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MVP#3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" w:before="40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Booking &amp; Payments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Transactional Platform</w:t>
            </w:r>
          </w:p>
        </w:tc>
        <w:tc>
          <w:tcPr>
            <w:tcW w:type="dxa" w:w="3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Credit wallet top-up (Omise or 2C2P)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Service selection &amp; booking flow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Booking history &amp; status tracking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Review &amp; rating system</w:t>
            </w:r>
          </w:p>
        </w:tc>
        <w:tc>
          <w:tcPr>
            <w:tcW w:type="dxa" w:w="29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GMV &gt; ฿500,000 in first quarter post-launch; provider NPS &gt; 50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Scale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" w:before="40"/>
            </w:pPr>
            <w:r>
              <w:rPr>
                <w:rFonts w:ascii="Arial" w:cs="Arial" w:eastAsia="Arial" w:hAnsi="Arial"/>
                <w:b/>
                <w:bCs/>
                <w:color w:val="14532D"/>
                <w:sz w:val="20"/>
                <w:szCs w:val="20"/>
              </w:rPr>
              <w:t xml:space="preserve">Marketplace Growth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Multi-area + Monetisation</w:t>
            </w:r>
          </w:p>
        </w:tc>
        <w:tc>
          <w:tcPr>
            <w:tcW w:type="dxa" w:w="3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Expand beyond Sukhumvit to all Bangkok zones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Promotional tools, loyalty programmes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Provider analytics dashboard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Data-driven matching algorithm</w:t>
            </w:r>
          </w:p>
        </w:tc>
        <w:tc>
          <w:tcPr>
            <w:tcW w:type="dxa" w:w="29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200+ active provider partners; 5,000+ MAU; market-leading NPS in category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D7377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5.  User Journey — Pet Service Provider (MVP#1)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80"/>
        <w:gridCol w:w="2000"/>
        <w:gridCol w:w="2000"/>
        <w:gridCol w:w="3000"/>
      </w:tblGrid>
      <w:tr>
        <w:tc>
          <w:tcPr>
            <w:tcW w:type="dxa" w:w="1400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680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Touchpoint</w:t>
            </w:r>
          </w:p>
        </w:tc>
        <w:tc>
          <w:tcPr>
            <w:tcW w:type="dxa" w:w="2000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Provider Action</w:t>
            </w:r>
          </w:p>
        </w:tc>
        <w:tc>
          <w:tcPr>
            <w:tcW w:type="dxa" w:w="2000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Provider Emotion</w:t>
            </w:r>
          </w:p>
        </w:tc>
        <w:tc>
          <w:tcPr>
            <w:tcW w:type="dxa" w:w="3000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Pawtal Response / System Action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1. Awareness</w:t>
            </w:r>
          </w:p>
        </w:tc>
        <w:tc>
          <w:tcPr>
            <w:tcW w:type="dxa" w:w="1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LINE OA / Web / Referral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Hears about Pawtal from peer or digital ad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Curious, slightly sceptical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Landing page loads — hero: "รับลูกค้าใหม่ง่ายกว่าเดิม"; stats, testimonials, FAQ visible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2. Interest</w:t>
            </w:r>
          </w:p>
        </w:tc>
        <w:tc>
          <w:tcPr>
            <w:tcW w:type="dxa" w:w="1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Landing Page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Reads value proposition; clicks "ลงทะเบียนฟรี"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Interested, low commitment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Form Step 1 loads — personal &amp; business info fields, PDPA note, "what happens next" sidebar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3. Form Fill</w:t>
            </w:r>
          </w:p>
        </w:tc>
        <w:tc>
          <w:tcPr>
            <w:tcW w:type="dxa" w:w="1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Registration Form (3 steps)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Fills name, phone, email; selects service types; chooses area; reviews; checks PDPA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Engaged, slightly anxious about commitment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Progress bar, field validation, PDPA toggle, review screen; submit fires API → lead saved to DB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4. Confirmation</w:t>
            </w:r>
          </w:p>
        </w:tc>
        <w:tc>
          <w:tcPr>
            <w:tcW w:type="dxa" w:w="1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Success Page + Email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Sees success screen; receives confirmation email within 5 mins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Relieved, mildly excited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Transactional email sent (SendGrid/Postmark); business team notified in CRM; callback scheduled within 24hrs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5. Callback</w:t>
            </w:r>
          </w:p>
        </w:tc>
        <w:tc>
          <w:tcPr>
            <w:tcW w:type="dxa" w:w="1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Phone call from Pawtal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Speaks with Pawtal rep; hears full pitch and partnership terms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Reassured, evaluating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Sales rep documents outcome in CRM; notes objections; schedules onboarding if agreed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6. Onboarding</w:t>
            </w:r>
          </w:p>
        </w:tc>
        <w:tc>
          <w:tcPr>
            <w:tcW w:type="dxa" w:w="1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Provider Dashboard (MVP#2)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Sets up profile, uploads photos, sets service prices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Confident, excited to get new clients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Profile goes live on platform; provider receives "Profile Live" notification; first bookings can arrive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0D7377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6.  User Journey — Pet Owner / Customer (MVP#2+)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80"/>
        <w:gridCol w:w="2000"/>
        <w:gridCol w:w="2000"/>
        <w:gridCol w:w="3000"/>
      </w:tblGrid>
      <w:tr>
        <w:tc>
          <w:tcPr>
            <w:tcW w:type="dxa" w:w="1400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680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Touchpoint</w:t>
            </w:r>
          </w:p>
        </w:tc>
        <w:tc>
          <w:tcPr>
            <w:tcW w:type="dxa" w:w="2000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Customer Action</w:t>
            </w:r>
          </w:p>
        </w:tc>
        <w:tc>
          <w:tcPr>
            <w:tcW w:type="dxa" w:w="2000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Customer Emotion</w:t>
            </w:r>
          </w:p>
        </w:tc>
        <w:tc>
          <w:tcPr>
            <w:tcW w:type="dxa" w:w="3000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Pawtal Response / System Action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D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1. Awareness</w:t>
            </w:r>
          </w:p>
        </w:tc>
        <w:tc>
          <w:tcPr>
            <w:tcW w:type="dxa" w:w="1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Social / Search / Referral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Searches for "grooming near Sukhumvit" or hears from friend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Need-driven, time-pressed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SEO / paid search drives to pawtal.co.th; app store listing; social media ads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D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2. Discovery</w:t>
            </w:r>
          </w:p>
        </w:tc>
        <w:tc>
          <w:tcPr>
            <w:tcW w:type="dxa" w:w="1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Map Browse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Registers; browses map for nearby providers; filters by service type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Exploring, comparing options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Map loads providers in Sukhumvit zone; filters: grooming, vet, boarding; provider pins show rating + price range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D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3. Evaluation</w:t>
            </w:r>
          </w:p>
        </w:tc>
        <w:tc>
          <w:tcPr>
            <w:tcW w:type="dxa" w:w="1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Provider Profile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Views provider profile: photos, services, prices, reviews, certifications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Building trust, comparing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Profile page with verified badge, service cards with prices, customer reviews, gallery, booking CTA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D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4. Booking</w:t>
            </w:r>
          </w:p>
        </w:tc>
        <w:tc>
          <w:tcPr>
            <w:tcW w:type="dxa" w:w="1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Booking Flow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Selects service, chooses date/time slot, confirms booking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Committed, slightly anxious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Real-time slot availability check; booking confirmation screen; calendar invite sent to customer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D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5. Payment</w:t>
            </w:r>
          </w:p>
        </w:tc>
        <w:tc>
          <w:tcPr>
            <w:tcW w:type="dxa" w:w="1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Wallet / Payment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Tops up credit wallet; completes payment via wallet deduction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Slightly cautious about new payment method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Wallet top-up via Omise/2C2P; balance displayed; payment confirmation; receipt emailed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D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6. Service</w:t>
            </w:r>
          </w:p>
        </w:tc>
        <w:tc>
          <w:tcPr>
            <w:tcW w:type="dxa" w:w="1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In-person visit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Brings pet to provider (or provider arrives for mobile service)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Trusting, hopeful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Booking status updates: "On the way" / "In progress" / "Complete"; provider scans QR for check-in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D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7. Review</w:t>
            </w:r>
          </w:p>
        </w:tc>
        <w:tc>
          <w:tcPr>
            <w:tcW w:type="dxa" w:w="1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Post-service prompt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Rates service and leaves review (in-app prompt)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Satisfied (typically), willing to share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Review captured → provider rating updated → customer earns loyalty points; re-booking prompt displayed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D7377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7.  Process Swimlane — MVP#1 (Provider Acquisition)</w:t>
      </w:r>
    </w:p>
    <w:p>
      <w:pPr>
        <w:spacing w:after="120" w:before="60"/>
      </w:pPr>
      <w:r>
        <w:rPr>
          <w:rFonts w:ascii="Arial" w:cs="Arial" w:eastAsia="Arial" w:hAnsi="Arial"/>
        </w:rPr>
        <w:t xml:space="preserve">This diagram maps the end-to-end flow across all actors involved in the MVP#1 provider acquisition process.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540"/>
        <w:gridCol w:w="1540"/>
        <w:gridCol w:w="1540"/>
        <w:gridCol w:w="1540"/>
        <w:gridCol w:w="1540"/>
        <w:gridCol w:w="980"/>
      </w:tblGrid>
      <w:tr>
        <w:tc>
          <w:tcPr>
            <w:tcW w:type="dxa" w:w="1400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 / Step</w:t>
            </w:r>
          </w:p>
        </w:tc>
        <w:tc>
          <w:tcPr>
            <w:tcW w:type="dxa" w:w="1540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1. Awareness</w:t>
            </w:r>
          </w:p>
        </w:tc>
        <w:tc>
          <w:tcPr>
            <w:tcW w:type="dxa" w:w="1540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2. Landing</w:t>
            </w:r>
          </w:p>
        </w:tc>
        <w:tc>
          <w:tcPr>
            <w:tcW w:type="dxa" w:w="1540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3. Form Fill</w:t>
            </w:r>
          </w:p>
        </w:tc>
        <w:tc>
          <w:tcPr>
            <w:tcW w:type="dxa" w:w="1540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4. Confirm</w:t>
            </w:r>
          </w:p>
        </w:tc>
        <w:tc>
          <w:tcPr>
            <w:tcW w:type="dxa" w:w="1540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5. Callback</w:t>
            </w:r>
          </w:p>
        </w:tc>
        <w:tc>
          <w:tcPr>
            <w:tcW w:type="dxa" w:w="980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6. Onboard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Provider</w:t>
            </w:r>
          </w:p>
        </w:tc>
        <w:tc>
          <w:tcPr>
            <w:tcW w:type="dxa" w:w="15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🔍 Sees ad, hears referral</w:t>
            </w:r>
          </w:p>
        </w:tc>
        <w:tc>
          <w:tcPr>
            <w:tcW w:type="dxa" w:w="15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📖 Reads landing page; taps CTA</w:t>
            </w:r>
          </w:p>
        </w:tc>
        <w:tc>
          <w:tcPr>
            <w:tcW w:type="dxa" w:w="15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✍️ Fills 3-step form, checks PDPA</w:t>
            </w:r>
          </w:p>
        </w:tc>
        <w:tc>
          <w:tcPr>
            <w:tcW w:type="dxa" w:w="15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 Views success screen; reads email</w:t>
            </w:r>
          </w:p>
        </w:tc>
        <w:tc>
          <w:tcPr>
            <w:tcW w:type="dxa" w:w="15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📞 Takes Pawtal call; evaluates offer</w:t>
            </w:r>
          </w:p>
        </w:tc>
        <w:tc>
          <w:tcPr>
            <w:tcW w:type="dxa" w:w="9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🚀 Sets up profile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Web / Landing Page</w:t>
            </w:r>
          </w:p>
        </w:tc>
        <w:tc>
          <w:tcPr>
            <w:tcW w:type="dxa" w:w="15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⬛ (Not yet engaged)</w:t>
            </w:r>
          </w:p>
        </w:tc>
        <w:tc>
          <w:tcPr>
            <w:tcW w:type="dxa" w:w="15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🌐 Renders hero, stats, FAQ, CTA</w:t>
            </w:r>
          </w:p>
        </w:tc>
        <w:tc>
          <w:tcPr>
            <w:tcW w:type="dxa" w:w="15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📋 Renders form steps 1–3 with validation</w:t>
            </w:r>
          </w:p>
        </w:tc>
        <w:tc>
          <w:tcPr>
            <w:tcW w:type="dxa" w:w="15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🎉 Renders success page</w:t>
            </w:r>
          </w:p>
        </w:tc>
        <w:tc>
          <w:tcPr>
            <w:tcW w:type="dxa" w:w="15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⬛ (Not active)</w:t>
            </w:r>
          </w:p>
        </w:tc>
        <w:tc>
          <w:tcPr>
            <w:tcW w:type="dxa" w:w="9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15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15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15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📥 POST /api/v1/leads — saves lead to DB</w:t>
            </w:r>
          </w:p>
        </w:tc>
        <w:tc>
          <w:tcPr>
            <w:tcW w:type="dxa" w:w="15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📤 Triggers confirmation email + CRM webhook</w:t>
            </w:r>
          </w:p>
        </w:tc>
        <w:tc>
          <w:tcPr>
            <w:tcW w:type="dxa" w:w="15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9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📝 Creates provider profile on approval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Email (SendGrid)</w:t>
            </w:r>
          </w:p>
        </w:tc>
        <w:tc>
          <w:tcPr>
            <w:tcW w:type="dxa" w:w="15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15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15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15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✉️ Sends confirmation email to provider</w:t>
            </w:r>
          </w:p>
        </w:tc>
        <w:tc>
          <w:tcPr>
            <w:tcW w:type="dxa" w:w="15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9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✉️ Sends "Profile Live" notification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CRM / BizDev</w:t>
            </w:r>
          </w:p>
        </w:tc>
        <w:tc>
          <w:tcPr>
            <w:tcW w:type="dxa" w:w="15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15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15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15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🔔 Receives new lead notification</w:t>
            </w:r>
          </w:p>
        </w:tc>
        <w:tc>
          <w:tcPr>
            <w:tcW w:type="dxa" w:w="15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📊 Logs call outcome; updates CRM status</w:t>
            </w:r>
          </w:p>
        </w:tc>
        <w:tc>
          <w:tcPr>
            <w:tcW w:type="dxa" w:w="9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✔️ Marks lead as "Onboarded"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Pawtal Biz Rep</w:t>
            </w:r>
          </w:p>
        </w:tc>
        <w:tc>
          <w:tcPr>
            <w:tcW w:type="dxa" w:w="15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15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15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15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15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📞 Calls provider within 24hrs; pitches partnership</w:t>
            </w:r>
          </w:p>
        </w:tc>
        <w:tc>
          <w:tcPr>
            <w:tcW w:type="dxa" w:w="9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🤝 Guides onboarding setup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D7377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8.  References</w:t>
      </w:r>
    </w:p>
    <w:p>
      <w:pPr>
        <w:spacing w:after="120" w:before="60"/>
      </w:pPr>
      <w:r>
        <w:rPr>
          <w:rFonts w:ascii="Arial" w:cs="Arial" w:eastAsia="Arial" w:hAnsi="Arial"/>
        </w:rPr>
        <w:t xml:space="preserve">All market data cited in this document is drawn from the following primary and secondary sources. Superscript numbers throughout the document correspond to the footnotes on each page.</w:t>
      </w:r>
    </w:p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Published Research &amp; Market Reports</w:t>
      </w:r>
    </w:p>
    <w:p>
      <w:pPr>
        <w:spacing w:after="60" w:before="60"/>
        <w:ind w:left="360" w:hanging="360"/>
      </w:pPr>
      <w:r>
        <w:rPr>
          <w:rFonts w:ascii="Arial" w:cs="Arial" w:eastAsia="Arial" w:hAnsi="Arial"/>
          <w:b/>
          <w:bCs/>
          <w:color w:val="1A3C5E"/>
          <w:sz w:val="20"/>
          <w:szCs w:val="20"/>
        </w:rPr>
        <w:t xml:space="preserve">[1]  </w:t>
      </w:r>
      <w:r>
        <w:rPr>
          <w:rFonts w:ascii="Arial" w:cs="Arial" w:eastAsia="Arial" w:hAnsi="Arial"/>
          <w:sz w:val="20"/>
          <w:szCs w:val="20"/>
        </w:rPr>
        <w:t xml:space="preserve">ttb analytics (2024). Thailand Pet Market Annual Report 2024. Cited in: Nation Thailand, "Pet Economy on the Rise", 18 November 2024.</w:t>
      </w:r>
      <w:r>
        <w:rPr>
          <w:rFonts w:ascii="Arial" w:cs="Arial" w:eastAsia="Arial" w:hAnsi="Arial"/>
        </w:rPr>
        <w:t xml:space="preserve">  </w:t>
      </w:r>
      <w:hyperlink w:history="1" r:id="rId3lmrtce-j1_2qnepnrztt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https://www.nationthailand.com/blogs/business/economy/40039878</w:t>
        </w:r>
      </w:hyperlink>
    </w:p>
    <w:p>
      <w:pPr>
        <w:spacing w:after="60" w:before="60"/>
        <w:ind w:left="360" w:hanging="360"/>
      </w:pPr>
      <w:r>
        <w:rPr>
          <w:rFonts w:ascii="Arial" w:cs="Arial" w:eastAsia="Arial" w:hAnsi="Arial"/>
          <w:b/>
          <w:bCs/>
          <w:color w:val="1A3C5E"/>
          <w:sz w:val="20"/>
          <w:szCs w:val="20"/>
        </w:rPr>
        <w:t xml:space="preserve">[2]  </w:t>
      </w:r>
      <w:r>
        <w:rPr>
          <w:rFonts w:ascii="Arial" w:cs="Arial" w:eastAsia="Arial" w:hAnsi="Arial"/>
          <w:sz w:val="20"/>
          <w:szCs w:val="20"/>
        </w:rPr>
        <w:t xml:space="preserve">Pet Fair South-East Asia (2025). Thailand Pet Market Overview — Government projections presented at Pet Fair SEA 2025.</w:t>
      </w:r>
      <w:r>
        <w:rPr>
          <w:rFonts w:ascii="Arial" w:cs="Arial" w:eastAsia="Arial" w:hAnsi="Arial"/>
        </w:rPr>
        <w:t xml:space="preserve">  </w:t>
      </w:r>
      <w:hyperlink w:history="1" r:id="rIdgbifd6zn0l8krgkjlcuzr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https://petfair-sea.com/asia-markets/southeast-asia-pet-market/thailand-pet-market/</w:t>
        </w:r>
      </w:hyperlink>
    </w:p>
    <w:p>
      <w:pPr>
        <w:spacing w:after="60" w:before="60"/>
        <w:ind w:left="360" w:hanging="360"/>
      </w:pPr>
      <w:r>
        <w:rPr>
          <w:rFonts w:ascii="Arial" w:cs="Arial" w:eastAsia="Arial" w:hAnsi="Arial"/>
          <w:b/>
          <w:bCs/>
          <w:color w:val="1A3C5E"/>
          <w:sz w:val="20"/>
          <w:szCs w:val="20"/>
        </w:rPr>
        <w:t xml:space="preserve">[3]  </w:t>
      </w:r>
      <w:r>
        <w:rPr>
          <w:rFonts w:ascii="Arial" w:cs="Arial" w:eastAsia="Arial" w:hAnsi="Arial"/>
          <w:sz w:val="20"/>
          <w:szCs w:val="20"/>
        </w:rPr>
        <w:t xml:space="preserve">Kasetsart University Faculty of Veterinary Medicine (2024). Second Pet Population Survey of Thailand, Second Quarter 2024.</w:t>
      </w:r>
    </w:p>
    <w:p>
      <w:pPr>
        <w:spacing w:after="60" w:before="60"/>
        <w:ind w:left="360" w:hanging="360"/>
      </w:pPr>
      <w:r>
        <w:rPr>
          <w:rFonts w:ascii="Arial" w:cs="Arial" w:eastAsia="Arial" w:hAnsi="Arial"/>
          <w:b/>
          <w:bCs/>
          <w:color w:val="1A3C5E"/>
          <w:sz w:val="20"/>
          <w:szCs w:val="20"/>
        </w:rPr>
        <w:t xml:space="preserve">[4]  </w:t>
      </w:r>
      <w:r>
        <w:rPr>
          <w:rFonts w:ascii="Arial" w:cs="Arial" w:eastAsia="Arial" w:hAnsi="Arial"/>
          <w:sz w:val="20"/>
          <w:szCs w:val="20"/>
        </w:rPr>
        <w:t xml:space="preserve">Kasikorn Research Centre (2025). Thailand Pet Industry Outlook 2025. Cited in: GlobalPETS, "The Pet Industry in Thailand", 2024.</w:t>
      </w:r>
      <w:r>
        <w:rPr>
          <w:rFonts w:ascii="Arial" w:cs="Arial" w:eastAsia="Arial" w:hAnsi="Arial"/>
        </w:rPr>
        <w:t xml:space="preserve">  </w:t>
      </w:r>
      <w:hyperlink w:history="1" r:id="rIdpcdhg7yw-9uwy-3ozsltb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https://globalpetindustry.com/news/the-pet-industry-in-thailand/</w:t>
        </w:r>
      </w:hyperlink>
    </w:p>
    <w:p>
      <w:pPr>
        <w:spacing w:after="60" w:before="60"/>
        <w:ind w:left="360" w:hanging="360"/>
      </w:pPr>
      <w:r>
        <w:rPr>
          <w:rFonts w:ascii="Arial" w:cs="Arial" w:eastAsia="Arial" w:hAnsi="Arial"/>
          <w:b/>
          <w:bCs/>
          <w:color w:val="1A3C5E"/>
          <w:sz w:val="20"/>
          <w:szCs w:val="20"/>
        </w:rPr>
        <w:t xml:space="preserve">[5]  </w:t>
      </w:r>
      <w:r>
        <w:rPr>
          <w:rFonts w:ascii="Arial" w:cs="Arial" w:eastAsia="Arial" w:hAnsi="Arial"/>
          <w:sz w:val="20"/>
          <w:szCs w:val="20"/>
        </w:rPr>
        <w:t xml:space="preserve">Grand View Research (2024). Thailand Pet Services Market Size &amp; Outlook, 2030. Grand View Research Horizon Series.</w:t>
      </w:r>
      <w:r>
        <w:rPr>
          <w:rFonts w:ascii="Arial" w:cs="Arial" w:eastAsia="Arial" w:hAnsi="Arial"/>
        </w:rPr>
        <w:t xml:space="preserve">  </w:t>
      </w:r>
      <w:hyperlink w:history="1" r:id="rId2fgtozgtgbzsnoqmlsm7u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https://www.grandviewresearch.com/horizon/outlook/pet-services-market/thailand</w:t>
        </w:r>
      </w:hyperlink>
    </w:p>
    <w:p>
      <w:pPr>
        <w:spacing w:after="60" w:before="60"/>
        <w:ind w:left="360" w:hanging="360"/>
      </w:pPr>
      <w:r>
        <w:rPr>
          <w:rFonts w:ascii="Arial" w:cs="Arial" w:eastAsia="Arial" w:hAnsi="Arial"/>
          <w:b/>
          <w:bCs/>
          <w:color w:val="1A3C5E"/>
          <w:sz w:val="20"/>
          <w:szCs w:val="20"/>
        </w:rPr>
        <w:t xml:space="preserve">[6]  </w:t>
      </w:r>
      <w:r>
        <w:rPr>
          <w:rFonts w:ascii="Arial" w:cs="Arial" w:eastAsia="Arial" w:hAnsi="Arial"/>
          <w:sz w:val="20"/>
          <w:szCs w:val="20"/>
        </w:rPr>
        <w:t xml:space="preserve">Grand View Research (2024). Thailand Pet Grooming Services Market Size &amp; Outlook, 2030. Grand View Research Horizon Series.</w:t>
      </w:r>
      <w:r>
        <w:rPr>
          <w:rFonts w:ascii="Arial" w:cs="Arial" w:eastAsia="Arial" w:hAnsi="Arial"/>
        </w:rPr>
        <w:t xml:space="preserve">  </w:t>
      </w:r>
      <w:hyperlink w:history="1" r:id="rIdaesrgo7j4gpkkzkwpob92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https://www.grandviewresearch.com/horizon/outlook/pet-grooming-services-market/thailand</w:t>
        </w:r>
      </w:hyperlink>
    </w:p>
    <w:p>
      <w:pPr>
        <w:spacing w:after="60" w:before="60"/>
        <w:ind w:left="360" w:hanging="360"/>
      </w:pPr>
      <w:r>
        <w:rPr>
          <w:rFonts w:ascii="Arial" w:cs="Arial" w:eastAsia="Arial" w:hAnsi="Arial"/>
          <w:b/>
          <w:bCs/>
          <w:color w:val="1A3C5E"/>
          <w:sz w:val="20"/>
          <w:szCs w:val="20"/>
        </w:rPr>
        <w:t xml:space="preserve">[7]  </w:t>
      </w:r>
      <w:r>
        <w:rPr>
          <w:rFonts w:ascii="Arial" w:cs="Arial" w:eastAsia="Arial" w:hAnsi="Arial"/>
          <w:sz w:val="20"/>
          <w:szCs w:val="20"/>
        </w:rPr>
        <w:t xml:space="preserve">TGM Research (2024). Insights on Pet Owners in Thailand: Pet Care Survey 2024. TGM Research Proprietary Study.</w:t>
      </w:r>
      <w:r>
        <w:rPr>
          <w:rFonts w:ascii="Arial" w:cs="Arial" w:eastAsia="Arial" w:hAnsi="Arial"/>
        </w:rPr>
        <w:t xml:space="preserve">  </w:t>
      </w:r>
      <w:hyperlink w:history="1" r:id="rIducjktfuvhkobghx7prixe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https://tgmresearch.com/pet-care-2024-insights-in-thailand.html</w:t>
        </w:r>
      </w:hyperlink>
    </w:p>
    <w:p>
      <w:pPr>
        <w:spacing w:after="60" w:before="60"/>
        <w:ind w:left="360" w:hanging="360"/>
      </w:pPr>
      <w:r>
        <w:rPr>
          <w:rFonts w:ascii="Arial" w:cs="Arial" w:eastAsia="Arial" w:hAnsi="Arial"/>
          <w:b/>
          <w:bCs/>
          <w:color w:val="1A3C5E"/>
          <w:sz w:val="20"/>
          <w:szCs w:val="20"/>
        </w:rPr>
        <w:t xml:space="preserve">[8]  </w:t>
      </w:r>
      <w:r>
        <w:rPr>
          <w:rFonts w:ascii="Arial" w:cs="Arial" w:eastAsia="Arial" w:hAnsi="Arial"/>
          <w:sz w:val="20"/>
          <w:szCs w:val="20"/>
        </w:rPr>
        <w:t xml:space="preserve">DataReportal / Meltwater / We Are Social (2025). Digital 2025: Thailand — Global Digital Insights, January 2025.</w:t>
      </w:r>
      <w:r>
        <w:rPr>
          <w:rFonts w:ascii="Arial" w:cs="Arial" w:eastAsia="Arial" w:hAnsi="Arial"/>
        </w:rPr>
        <w:t xml:space="preserve">  </w:t>
      </w:r>
      <w:hyperlink w:history="1" r:id="rIdu046bm9vr4nabarlov_u-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https://datareportal.com/reports/digital-2025-thailand</w:t>
        </w:r>
      </w:hyperlink>
    </w:p>
    <w:p>
      <w:pPr>
        <w:spacing w:after="60" w:before="60"/>
        <w:ind w:left="360" w:hanging="360"/>
      </w:pPr>
      <w:r>
        <w:rPr>
          <w:rFonts w:ascii="Arial" w:cs="Arial" w:eastAsia="Arial" w:hAnsi="Arial"/>
          <w:b/>
          <w:bCs/>
          <w:color w:val="1A3C5E"/>
          <w:sz w:val="20"/>
          <w:szCs w:val="20"/>
        </w:rPr>
        <w:t xml:space="preserve">[9]  </w:t>
      </w:r>
      <w:r>
        <w:rPr>
          <w:rFonts w:ascii="Arial" w:cs="Arial" w:eastAsia="Arial" w:hAnsi="Arial"/>
          <w:sz w:val="20"/>
          <w:szCs w:val="20"/>
        </w:rPr>
        <w:t xml:space="preserve">LINE Corporation (2024). LINE unveils map to success for modern SMEs — LINE Bootcamp 2024 Report. Published by The Story Thailand.</w:t>
      </w:r>
      <w:r>
        <w:rPr>
          <w:rFonts w:ascii="Arial" w:cs="Arial" w:eastAsia="Arial" w:hAnsi="Arial"/>
        </w:rPr>
        <w:t xml:space="preserve">  </w:t>
      </w:r>
      <w:hyperlink w:history="1" r:id="rIdx0s2l6wk3lpv1ujjsycs3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https://www.thestorythailand.com/en/line-bootcamp-day-2024/</w:t>
        </w:r>
      </w:hyperlink>
    </w:p>
    <w:p>
      <w:pPr>
        <w:spacing w:after="60" w:before="60"/>
        <w:ind w:left="360" w:hanging="360"/>
      </w:pPr>
      <w:r>
        <w:rPr>
          <w:rFonts w:ascii="Arial" w:cs="Arial" w:eastAsia="Arial" w:hAnsi="Arial"/>
          <w:b/>
          <w:bCs/>
          <w:color w:val="1A3C5E"/>
          <w:sz w:val="20"/>
          <w:szCs w:val="20"/>
        </w:rPr>
        <w:t xml:space="preserve">[10]  </w:t>
      </w:r>
      <w:r>
        <w:rPr>
          <w:rFonts w:ascii="Arial" w:cs="Arial" w:eastAsia="Arial" w:hAnsi="Arial"/>
          <w:sz w:val="20"/>
          <w:szCs w:val="20"/>
        </w:rPr>
        <w:t xml:space="preserve">Nation Thailand (2024). "Pet humanisation trend playing a big role in expanding Thailand's pet market". Published 2024.</w:t>
      </w:r>
      <w:r>
        <w:rPr>
          <w:rFonts w:ascii="Arial" w:cs="Arial" w:eastAsia="Arial" w:hAnsi="Arial"/>
        </w:rPr>
        <w:t xml:space="preserve">  </w:t>
      </w:r>
      <w:hyperlink w:history="1" r:id="rIdqgwiw_51theybpetvklic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https://www.nationthailand.com/blogs/business/investment/40041496</w:t>
        </w:r>
      </w:hyperlink>
    </w:p>
    <w:p>
      <w:pPr>
        <w:spacing w:after="60" w:before="60"/>
        <w:ind w:left="360" w:hanging="360"/>
      </w:pPr>
      <w:r>
        <w:rPr>
          <w:rFonts w:ascii="Arial" w:cs="Arial" w:eastAsia="Arial" w:hAnsi="Arial"/>
          <w:b/>
          <w:bCs/>
          <w:color w:val="1A3C5E"/>
          <w:sz w:val="20"/>
          <w:szCs w:val="20"/>
        </w:rPr>
        <w:t xml:space="preserve">[11]  </w:t>
      </w:r>
      <w:r>
        <w:rPr>
          <w:rFonts w:ascii="Arial" w:cs="Arial" w:eastAsia="Arial" w:hAnsi="Arial"/>
          <w:sz w:val="20"/>
          <w:szCs w:val="20"/>
        </w:rPr>
        <w:t xml:space="preserve">Mordor Intelligence (2024). Thailand Pet Food Market Size &amp; Share Analysis — Industry Research Report. Published 2024.</w:t>
      </w:r>
      <w:r>
        <w:rPr>
          <w:rFonts w:ascii="Arial" w:cs="Arial" w:eastAsia="Arial" w:hAnsi="Arial"/>
        </w:rPr>
        <w:t xml:space="preserve">  </w:t>
      </w:r>
      <w:hyperlink w:history="1" r:id="rIdgsceklybx9da50ioqajfa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https://www.mordorintelligence.com/industry-reports/thailand-pet-food-market</w:t>
        </w:r>
      </w:hyperlink>
    </w:p>
    <w:p>
      <w:pPr>
        <w:spacing w:after="60" w:before="60"/>
        <w:ind w:left="360" w:hanging="360"/>
      </w:pPr>
      <w:r>
        <w:rPr>
          <w:rFonts w:ascii="Arial" w:cs="Arial" w:eastAsia="Arial" w:hAnsi="Arial"/>
          <w:b/>
          <w:bCs/>
          <w:color w:val="1A3C5E"/>
          <w:sz w:val="20"/>
          <w:szCs w:val="20"/>
        </w:rPr>
        <w:t xml:space="preserve">[12]  </w:t>
      </w:r>
      <w:r>
        <w:rPr>
          <w:rFonts w:ascii="Arial" w:cs="Arial" w:eastAsia="Arial" w:hAnsi="Arial"/>
          <w:sz w:val="20"/>
          <w:szCs w:val="20"/>
        </w:rPr>
        <w:t xml:space="preserve">Nation Thailand (2024). "Thailand Emerges as Global Pet Food Powerhouse as Industry Eyes $5 Billion Export Target". Published 2024.</w:t>
      </w:r>
      <w:r>
        <w:rPr>
          <w:rFonts w:ascii="Arial" w:cs="Arial" w:eastAsia="Arial" w:hAnsi="Arial"/>
        </w:rPr>
        <w:t xml:space="preserve">  </w:t>
      </w:r>
      <w:hyperlink w:history="1" r:id="rIdbk6qpraxv72kvhmt6oeny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https://www.nationthailand.com/business/trade/40057485</w:t>
        </w:r>
      </w:hyperlink>
    </w:p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64748B"/>
          <w:sz w:val="18"/>
          <w:szCs w:val="18"/>
        </w:rPr>
        <w:t xml:space="preserve">Note: </w:t>
      </w:r>
      <w:r>
        <w:rPr>
          <w:rFonts w:ascii="Arial" w:cs="Arial" w:eastAsia="Arial" w:hAnsi="Arial"/>
          <w:color w:val="64748B"/>
          <w:sz w:val="18"/>
          <w:szCs w:val="18"/>
        </w:rPr>
        <w:t xml:space="preserve">Market sizing figures are drawn from third-party research reports and may use differing methodologies and exchange rate assumptions. All Thai Baht (฿) to USD conversions are approximate at ฿36 = USD 1 (2024 rate). Figures should be treated as indicative and validated prior to external publication.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 w:space="4"/>
      </w:pBdr>
      <w:jc w:val="right"/>
    </w:pPr>
    <w:r>
      <w:rPr>
        <w:rFonts w:ascii="Arial" w:cs="Arial" w:eastAsia="Arial" w:hAnsi="Arial"/>
        <w:color w:val="64748B"/>
        <w:sz w:val="18"/>
        <w:szCs w:val="18"/>
      </w:rPr>
      <w:t xml:space="preserve">© 2026 Pawtal Co., Ltd. Bangkok, Thailand  |  Internal Use Only  |  Page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4748B"/>
        <w:sz w:val="18"/>
        <w:szCs w:val="18"/>
      </w:rPr>
      <w:t xml:space="preserve"> of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  <w:footnote w:id="1">
    <w:p>
      <w:r>
        <w:rPr>
          <w:rStyle w:val="FootnoteReference"/>
        </w:rPr>
        <w:footnoteRef/>
      </w:r>
      <w:r>
        <w:rPr>
          <w:rFonts w:ascii="Arial" w:cs="Arial" w:eastAsia="Arial" w:hAnsi="Arial"/>
          <w:sz w:val="18"/>
          <w:szCs w:val="18"/>
        </w:rPr>
        <w:t xml:space="preserve">ttb analytics (2024). Thailand Pet Market Annual Report 2024, cited in Nation Thailand, "Pet Economy on the Rise", 2024. </w:t>
      </w:r>
      <w:hyperlink w:history="1" r:id="rId6mwqevvv_mwcrp68uwtii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https://www.nationthailand.com/blogs/business/economy/40039878</w:t>
        </w:r>
      </w:hyperlink>
    </w:p>
  </w:footnote>
  <w:footnote w:id="2">
    <w:p>
      <w:r>
        <w:rPr>
          <w:rStyle w:val="FootnoteReference"/>
        </w:rPr>
        <w:footnoteRef/>
      </w:r>
      <w:r>
        <w:rPr>
          <w:rFonts w:ascii="Arial" w:cs="Arial" w:eastAsia="Arial" w:hAnsi="Arial"/>
          <w:sz w:val="18"/>
          <w:szCs w:val="18"/>
        </w:rPr>
        <w:t xml:space="preserve">Pet Fair South-East Asia (2025). Thailand Pet Market Overview: Government data presented at Pet Fair SEA 2025. </w:t>
      </w:r>
      <w:hyperlink w:history="1" r:id="rIdi3cnayp9vn8rhlgd2qcdv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https://petfair-sea.com/asia-markets/southeast-asia-pet-market/thailand-pet-market/</w:t>
        </w:r>
      </w:hyperlink>
    </w:p>
  </w:footnote>
  <w:footnote w:id="3">
    <w:p>
      <w:r>
        <w:rPr>
          <w:rStyle w:val="FootnoteReference"/>
        </w:rPr>
        <w:footnoteRef/>
      </w:r>
      <w:r>
        <w:rPr>
          <w:rFonts w:ascii="Arial" w:cs="Arial" w:eastAsia="Arial" w:hAnsi="Arial"/>
          <w:sz w:val="18"/>
          <w:szCs w:val="18"/>
        </w:rPr>
        <w:t xml:space="preserve">Kasetsart University Faculty of Veterinary Medicine (2024). Second Pet Population Survey of Thailand, Q2 2024.</w:t>
      </w:r>
    </w:p>
  </w:footnote>
  <w:footnote w:id="4">
    <w:p>
      <w:r>
        <w:rPr>
          <w:rStyle w:val="FootnoteReference"/>
        </w:rPr>
        <w:footnoteRef/>
      </w:r>
      <w:r>
        <w:rPr>
          <w:rFonts w:ascii="Arial" w:cs="Arial" w:eastAsia="Arial" w:hAnsi="Arial"/>
          <w:sz w:val="18"/>
          <w:szCs w:val="18"/>
        </w:rPr>
        <w:t xml:space="preserve">Kasikorn Research Centre (2025). Thailand Pet Industry Outlook 2025, cited in GlobalPETS, "The Pet Industry in Thailand". </w:t>
      </w:r>
      <w:hyperlink w:history="1" r:id="rIdifrbgfznir5tszsj96trt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https://globalpetindustry.com/news/the-pet-industry-in-thailand/</w:t>
        </w:r>
      </w:hyperlink>
    </w:p>
  </w:footnote>
  <w:footnote w:id="5">
    <w:p>
      <w:r>
        <w:rPr>
          <w:rStyle w:val="FootnoteReference"/>
        </w:rPr>
        <w:footnoteRef/>
      </w:r>
      <w:r>
        <w:rPr>
          <w:rFonts w:ascii="Arial" w:cs="Arial" w:eastAsia="Arial" w:hAnsi="Arial"/>
          <w:sz w:val="18"/>
          <w:szCs w:val="18"/>
        </w:rPr>
        <w:t xml:space="preserve">Grand View Research (2024). Thailand Pet Services Market Size &amp; Outlook, 2030. </w:t>
      </w:r>
      <w:hyperlink w:history="1" r:id="rId37dz4_dbmwf4vifvjndez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https://www.grandviewresearch.com/horizon/outlook/pet-services-market/thailand</w:t>
        </w:r>
      </w:hyperlink>
    </w:p>
  </w:footnote>
  <w:footnote w:id="6">
    <w:p>
      <w:r>
        <w:rPr>
          <w:rStyle w:val="FootnoteReference"/>
        </w:rPr>
        <w:footnoteRef/>
      </w:r>
      <w:r>
        <w:rPr>
          <w:rFonts w:ascii="Arial" w:cs="Arial" w:eastAsia="Arial" w:hAnsi="Arial"/>
          <w:sz w:val="18"/>
          <w:szCs w:val="18"/>
        </w:rPr>
        <w:t xml:space="preserve">Grand View Research (2024). Thailand Pet Grooming Services Market Size &amp; Outlook, 2030. </w:t>
      </w:r>
      <w:hyperlink w:history="1" r:id="rIdgn1zhr9t9tkdgtnrfkjre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https://www.grandviewresearch.com/horizon/outlook/pet-grooming-services-market/thailand</w:t>
        </w:r>
      </w:hyperlink>
    </w:p>
  </w:footnote>
  <w:footnote w:id="7">
    <w:p>
      <w:r>
        <w:rPr>
          <w:rStyle w:val="FootnoteReference"/>
        </w:rPr>
        <w:footnoteRef/>
      </w:r>
      <w:r>
        <w:rPr>
          <w:rFonts w:ascii="Arial" w:cs="Arial" w:eastAsia="Arial" w:hAnsi="Arial"/>
          <w:sz w:val="18"/>
          <w:szCs w:val="18"/>
        </w:rPr>
        <w:t xml:space="preserve">TGM Research (2024). Insights on Pet Owners in Thailand: Pet Care Survey 2024. </w:t>
      </w:r>
      <w:hyperlink w:history="1" r:id="rIdz8-hqoa76qznzhblhpskr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https://tgmresearch.com/pet-care-2024-insights-in-thailand.html</w:t>
        </w:r>
      </w:hyperlink>
    </w:p>
  </w:footnote>
  <w:footnote w:id="8">
    <w:p>
      <w:r>
        <w:rPr>
          <w:rStyle w:val="FootnoteReference"/>
        </w:rPr>
        <w:footnoteRef/>
      </w:r>
      <w:r>
        <w:rPr>
          <w:rFonts w:ascii="Arial" w:cs="Arial" w:eastAsia="Arial" w:hAnsi="Arial"/>
          <w:sz w:val="18"/>
          <w:szCs w:val="18"/>
        </w:rPr>
        <w:t xml:space="preserve">DataReportal (2025). Digital 2025: Thailand — Global Digital Insights, January 2025. </w:t>
      </w:r>
      <w:hyperlink w:history="1" r:id="rId24p1341egrkqqj4tfffi3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https://datareportal.com/reports/digital-2025-thailand</w:t>
        </w:r>
      </w:hyperlink>
    </w:p>
  </w:footnote>
  <w:footnote w:id="9">
    <w:p>
      <w:r>
        <w:rPr>
          <w:rStyle w:val="FootnoteReference"/>
        </w:rPr>
        <w:footnoteRef/>
      </w:r>
      <w:r>
        <w:rPr>
          <w:rFonts w:ascii="Arial" w:cs="Arial" w:eastAsia="Arial" w:hAnsi="Arial"/>
          <w:sz w:val="18"/>
          <w:szCs w:val="18"/>
        </w:rPr>
        <w:t xml:space="preserve">LINE Corporation (2024). LINE unveils map to success for modern SMEs — LINE Bootcamp 2024, The Story Thailand. </w:t>
      </w:r>
      <w:hyperlink w:history="1" r:id="rIdmvusvjdpanje8x9t78vwq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https://www.thestorythailand.com/en/line-bootcamp-day-2024/</w:t>
        </w:r>
      </w:hyperlink>
    </w:p>
  </w:footnote>
  <w:footnote w:id="10">
    <w:p>
      <w:r>
        <w:rPr>
          <w:rStyle w:val="FootnoteReference"/>
        </w:rPr>
        <w:footnoteRef/>
      </w:r>
      <w:r>
        <w:rPr>
          <w:rFonts w:ascii="Arial" w:cs="Arial" w:eastAsia="Arial" w:hAnsi="Arial"/>
          <w:sz w:val="18"/>
          <w:szCs w:val="18"/>
        </w:rPr>
        <w:t xml:space="preserve">Nation Thailand (2024). "Pet humanisation trend playing a big role in expanding Thailand's pet market", 2024. </w:t>
      </w:r>
      <w:hyperlink w:history="1" r:id="rIdjinqyfpd87c-y5s1zuq_r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https://www.nationthailand.com/blogs/business/investment/40041496</w:t>
        </w:r>
      </w:hyperlink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D7377" w:sz="6" w:space="4"/>
      </w:pBdr>
      <w:tabs>
        <w:tab w:val="right" w:pos="9026"/>
      </w:tabs>
      <w:spacing w:after="60"/>
    </w:pPr>
    <w:r>
      <w:rPr>
        <w:rFonts w:ascii="Arial" w:cs="Arial" w:eastAsia="Arial" w:hAnsi="Arial"/>
        <w:b/>
        <w:bCs/>
        <w:color w:val="1A3C5E"/>
        <w:sz w:val="18"/>
        <w:szCs w:val="18"/>
      </w:rPr>
      <w:t xml:space="preserve">Pawtal — Business Overview  </w:t>
    </w:r>
    <w:r>
      <w:rPr>
        <w:rFonts w:ascii="Arial" w:cs="Arial" w:eastAsia="Arial" w:hAnsi="Arial"/>
        <w:color w:val="64748B"/>
        <w:sz w:val="18"/>
        <w:szCs w:val="18"/>
      </w:rPr>
      <w:t xml:space="preserve">Version 2.0  |  March 2026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3C5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D737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owpkyv8zcwjoqye-xydx" Type="http://schemas.openxmlformats.org/officeDocument/2006/relationships/hyperlink" Target="https://www.nationthailand.com/blogs/business/economy/40039878" TargetMode="External"/><Relationship Id="rIdwqdh4uuddmsrtupqdsppf" Type="http://schemas.openxmlformats.org/officeDocument/2006/relationships/hyperlink" Target="https://petfair-sea.com/asia-markets/southeast-asia-pet-market/thailand-pet-market/" TargetMode="External"/><Relationship Id="rIdkoxg9zawecja8ylhyjxbr" Type="http://schemas.openxmlformats.org/officeDocument/2006/relationships/hyperlink" Target="https://www.grandviewresearch.com/horizon/outlook/pet-services-market/thailand" TargetMode="External"/><Relationship Id="rId7x7_hqvcgxyxsxvyxsmlj" Type="http://schemas.openxmlformats.org/officeDocument/2006/relationships/hyperlink" Target="https://www.grandviewresearch.com/horizon/outlook/pet-grooming-services-market/thailand" TargetMode="External"/><Relationship Id="rIdxnqxy6odle4hh9bowpjfu" Type="http://schemas.openxmlformats.org/officeDocument/2006/relationships/hyperlink" Target="https://tgmresearch.com/pet-care-2024-insights-in-thailand.html" TargetMode="External"/><Relationship Id="rId3lmrtce-j1_2qnepnrztt" Type="http://schemas.openxmlformats.org/officeDocument/2006/relationships/hyperlink" Target="https://www.nationthailand.com/blogs/business/economy/40039878" TargetMode="External"/><Relationship Id="rIdgbifd6zn0l8krgkjlcuzr" Type="http://schemas.openxmlformats.org/officeDocument/2006/relationships/hyperlink" Target="https://petfair-sea.com/asia-markets/southeast-asia-pet-market/thailand-pet-market/" TargetMode="External"/><Relationship Id="rIdpcdhg7yw-9uwy-3ozsltb" Type="http://schemas.openxmlformats.org/officeDocument/2006/relationships/hyperlink" Target="https://globalpetindustry.com/news/the-pet-industry-in-thailand/" TargetMode="External"/><Relationship Id="rId2fgtozgtgbzsnoqmlsm7u" Type="http://schemas.openxmlformats.org/officeDocument/2006/relationships/hyperlink" Target="https://www.grandviewresearch.com/horizon/outlook/pet-services-market/thailand" TargetMode="External"/><Relationship Id="rIdaesrgo7j4gpkkzkwpob92" Type="http://schemas.openxmlformats.org/officeDocument/2006/relationships/hyperlink" Target="https://www.grandviewresearch.com/horizon/outlook/pet-grooming-services-market/thailand" TargetMode="External"/><Relationship Id="rIducjktfuvhkobghx7prixe" Type="http://schemas.openxmlformats.org/officeDocument/2006/relationships/hyperlink" Target="https://tgmresearch.com/pet-care-2024-insights-in-thailand.html" TargetMode="External"/><Relationship Id="rIdu046bm9vr4nabarlov_u-" Type="http://schemas.openxmlformats.org/officeDocument/2006/relationships/hyperlink" Target="https://datareportal.com/reports/digital-2025-thailand" TargetMode="External"/><Relationship Id="rIdx0s2l6wk3lpv1ujjsycs3" Type="http://schemas.openxmlformats.org/officeDocument/2006/relationships/hyperlink" Target="https://www.thestorythailand.com/en/line-bootcamp-day-2024/" TargetMode="External"/><Relationship Id="rIdqgwiw_51theybpetvklic" Type="http://schemas.openxmlformats.org/officeDocument/2006/relationships/hyperlink" Target="https://www.nationthailand.com/blogs/business/investment/40041496" TargetMode="External"/><Relationship Id="rIdgsceklybx9da50ioqajfa" Type="http://schemas.openxmlformats.org/officeDocument/2006/relationships/hyperlink" Target="https://www.mordorintelligence.com/industry-reports/thailand-pet-food-market" TargetMode="External"/><Relationship Id="rIdbk6qpraxv72kvhmt6oeny" Type="http://schemas.openxmlformats.org/officeDocument/2006/relationships/hyperlink" Target="https://www.nationthailand.com/business/trade/40057485" TargetMode="External"/><Relationship Id="rId2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><Relationship Id="rId6mwqevvv_mwcrp68uwtii" Type="http://schemas.openxmlformats.org/officeDocument/2006/relationships/hyperlink" Target="https://www.nationthailand.com/blogs/business/economy/40039878" TargetMode="External"/><Relationship Id="rIdi3cnayp9vn8rhlgd2qcdv" Type="http://schemas.openxmlformats.org/officeDocument/2006/relationships/hyperlink" Target="https://petfair-sea.com/asia-markets/southeast-asia-pet-market/thailand-pet-market/" TargetMode="External"/><Relationship Id="rIdifrbgfznir5tszsj96trt" Type="http://schemas.openxmlformats.org/officeDocument/2006/relationships/hyperlink" Target="https://globalpetindustry.com/news/the-pet-industry-in-thailand/" TargetMode="External"/><Relationship Id="rId37dz4_dbmwf4vifvjndez" Type="http://schemas.openxmlformats.org/officeDocument/2006/relationships/hyperlink" Target="https://www.grandviewresearch.com/horizon/outlook/pet-services-market/thailand" TargetMode="External"/><Relationship Id="rIdgn1zhr9t9tkdgtnrfkjre" Type="http://schemas.openxmlformats.org/officeDocument/2006/relationships/hyperlink" Target="https://www.grandviewresearch.com/horizon/outlook/pet-grooming-services-market/thailand" TargetMode="External"/><Relationship Id="rIdz8-hqoa76qznzhblhpskr" Type="http://schemas.openxmlformats.org/officeDocument/2006/relationships/hyperlink" Target="https://tgmresearch.com/pet-care-2024-insights-in-thailand.html" TargetMode="External"/><Relationship Id="rId24p1341egrkqqj4tfffi3" Type="http://schemas.openxmlformats.org/officeDocument/2006/relationships/hyperlink" Target="https://datareportal.com/reports/digital-2025-thailand" TargetMode="External"/><Relationship Id="rIdmvusvjdpanje8x9t78vwq" Type="http://schemas.openxmlformats.org/officeDocument/2006/relationships/hyperlink" Target="https://www.thestorythailand.com/en/line-bootcamp-day-2024/" TargetMode="External"/><Relationship Id="rIdjinqyfpd87c-y5s1zuq_r" Type="http://schemas.openxmlformats.org/officeDocument/2006/relationships/hyperlink" Target="https://www.nationthailand.com/blogs/business/investment/40041496" TargetMode="External"/></Relationships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2026-03-19T12:57:43.909Z</dcterms:created>
  <dcterms:modified xsi:type="dcterms:W3CDTF">2026-03-19T12:57:43.910Z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