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Arial" w:cs="Arial" w:eastAsia="Arial" w:hAnsi="Arial"/>
        </w:rPr>
        <w:t xml:space="preserve"/>
      </w:r>
    </w:p>
    <w:p>
      <w:pPr>
        <w:spacing w:after="160" w:before="0"/>
        <w:jc w:val="center"/>
      </w:pPr>
      <w:r>
        <w:rPr>
          <w:rFonts w:ascii="Arial" w:cs="Arial" w:eastAsia="Arial" w:hAnsi="Arial"/>
          <w:b/>
          <w:bCs/>
          <w:color w:val="1A3C5E"/>
          <w:sz w:val="72"/>
          <w:szCs w:val="72"/>
        </w:rPr>
        <w:t xml:space="preserve">🐾  PAWTAL</w:t>
      </w:r>
    </w:p>
    <w:p>
      <w:pPr>
        <w:spacing w:after="80" w:before="0"/>
        <w:jc w:val="center"/>
      </w:pPr>
      <w:r>
        <w:rPr>
          <w:rFonts w:ascii="Arial" w:cs="Arial" w:eastAsia="Arial" w:hAnsi="Arial"/>
          <w:b/>
          <w:bCs/>
          <w:color w:val="0D7377"/>
          <w:sz w:val="40"/>
          <w:szCs w:val="40"/>
        </w:rPr>
        <w:t xml:space="preserve">Market Analysis</w:t>
      </w:r>
    </w:p>
    <w:p>
      <w:pPr>
        <w:spacing w:after="320" w:before="0"/>
        <w:jc w:val="center"/>
      </w:pPr>
      <w:r>
        <w:rPr>
          <w:rFonts w:ascii="Arial" w:cs="Arial" w:eastAsia="Arial" w:hAnsi="Arial"/>
          <w:color w:val="64748B"/>
          <w:sz w:val="26"/>
          <w:szCs w:val="26"/>
        </w:rPr>
        <w:t xml:space="preserve">Thailand Pet Services Market — MVP#1 Research Report</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W w:type="dxa" w:w="2700"/>
            <w:tcBorders>
              <w:top w:val="single" w:color="E2E8F0" w:sz="4"/>
              <w:left w:val="single" w:color="E2E8F0" w:sz="4"/>
              <w:bottom w:val="single" w:color="E2E8F0" w:sz="4"/>
              <w:right w:val="single" w:color="E2E8F0" w:sz="4"/>
            </w:tcBorders>
            <w:shd w:fill="E8F0F7" w:val="clear"/>
            <w:tcMar>
              <w:top w:type="dxa" w:w="100"/>
              <w:left w:type="dxa" w:w="140"/>
              <w:bottom w:type="dxa" w:w="100"/>
              <w:right w:type="dxa" w:w="140"/>
            </w:tcMar>
            <w:vAlign w:val="top"/>
          </w:tcPr>
          <w:p>
            <w:pPr>
              <w:jc w:val="left"/>
            </w:pPr>
            <w:r>
              <w:rPr>
                <w:rFonts w:ascii="Arial" w:cs="Arial" w:eastAsia="Arial" w:hAnsi="Arial"/>
                <w:b/>
                <w:bCs/>
                <w:color w:val="1A3C5E"/>
                <w:sz w:val="20"/>
                <w:szCs w:val="20"/>
              </w:rPr>
              <w:t xml:space="preserve">Version</w:t>
            </w:r>
          </w:p>
        </w:tc>
        <w:tc>
          <w:tcPr>
            <w:tcW w:type="dxa" w:w="27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2.0 (with Citations)</w:t>
            </w:r>
          </w:p>
        </w:tc>
      </w:tr>
      <w:tr>
        <w:tc>
          <w:tcPr>
            <w:tcW w:type="dxa" w:w="2700"/>
            <w:tcBorders>
              <w:top w:val="single" w:color="E2E8F0" w:sz="4"/>
              <w:left w:val="single" w:color="E2E8F0" w:sz="4"/>
              <w:bottom w:val="single" w:color="E2E8F0" w:sz="4"/>
              <w:right w:val="single" w:color="E2E8F0" w:sz="4"/>
            </w:tcBorders>
            <w:shd w:fill="E8F0F7" w:val="clear"/>
            <w:tcMar>
              <w:top w:type="dxa" w:w="100"/>
              <w:left w:type="dxa" w:w="140"/>
              <w:bottom w:type="dxa" w:w="100"/>
              <w:right w:type="dxa" w:w="140"/>
            </w:tcMar>
            <w:vAlign w:val="top"/>
          </w:tcPr>
          <w:p>
            <w:pPr>
              <w:jc w:val="left"/>
            </w:pPr>
            <w:r>
              <w:rPr>
                <w:rFonts w:ascii="Arial" w:cs="Arial" w:eastAsia="Arial" w:hAnsi="Arial"/>
                <w:b/>
                <w:bCs/>
                <w:color w:val="1A3C5E"/>
                <w:sz w:val="20"/>
                <w:szCs w:val="20"/>
              </w:rPr>
              <w:t xml:space="preserve">Date</w:t>
            </w:r>
          </w:p>
        </w:tc>
        <w:tc>
          <w:tcPr>
            <w:tcW w:type="dxa" w:w="27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March 2026</w:t>
            </w:r>
          </w:p>
        </w:tc>
      </w:tr>
      <w:tr>
        <w:tc>
          <w:tcPr>
            <w:tcW w:type="dxa" w:w="2700"/>
            <w:tcBorders>
              <w:top w:val="single" w:color="E2E8F0" w:sz="4"/>
              <w:left w:val="single" w:color="E2E8F0" w:sz="4"/>
              <w:bottom w:val="single" w:color="E2E8F0" w:sz="4"/>
              <w:right w:val="single" w:color="E2E8F0" w:sz="4"/>
            </w:tcBorders>
            <w:shd w:fill="E8F0F7" w:val="clear"/>
            <w:tcMar>
              <w:top w:type="dxa" w:w="100"/>
              <w:left w:type="dxa" w:w="140"/>
              <w:bottom w:type="dxa" w:w="100"/>
              <w:right w:type="dxa" w:w="140"/>
            </w:tcMar>
            <w:vAlign w:val="top"/>
          </w:tcPr>
          <w:p>
            <w:pPr>
              <w:jc w:val="left"/>
            </w:pPr>
            <w:r>
              <w:rPr>
                <w:rFonts w:ascii="Arial" w:cs="Arial" w:eastAsia="Arial" w:hAnsi="Arial"/>
                <w:b/>
                <w:bCs/>
                <w:color w:val="1A3C5E"/>
                <w:sz w:val="20"/>
                <w:szCs w:val="20"/>
              </w:rPr>
              <w:t xml:space="preserve">Phase</w:t>
            </w:r>
          </w:p>
        </w:tc>
        <w:tc>
          <w:tcPr>
            <w:tcW w:type="dxa" w:w="27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MVP#1 — Provider Acquisition</w:t>
            </w:r>
          </w:p>
        </w:tc>
      </w:tr>
      <w:tr>
        <w:tc>
          <w:tcPr>
            <w:tcW w:type="dxa" w:w="2700"/>
            <w:tcBorders>
              <w:top w:val="single" w:color="E2E8F0" w:sz="4"/>
              <w:left w:val="single" w:color="E2E8F0" w:sz="4"/>
              <w:bottom w:val="single" w:color="E2E8F0" w:sz="4"/>
              <w:right w:val="single" w:color="E2E8F0" w:sz="4"/>
            </w:tcBorders>
            <w:shd w:fill="E8F0F7" w:val="clear"/>
            <w:tcMar>
              <w:top w:type="dxa" w:w="100"/>
              <w:left w:type="dxa" w:w="140"/>
              <w:bottom w:type="dxa" w:w="100"/>
              <w:right w:type="dxa" w:w="140"/>
            </w:tcMar>
            <w:vAlign w:val="top"/>
          </w:tcPr>
          <w:p>
            <w:pPr>
              <w:jc w:val="left"/>
            </w:pPr>
            <w:r>
              <w:rPr>
                <w:rFonts w:ascii="Arial" w:cs="Arial" w:eastAsia="Arial" w:hAnsi="Arial"/>
                <w:b/>
                <w:bCs/>
                <w:color w:val="1A3C5E"/>
                <w:sz w:val="20"/>
                <w:szCs w:val="20"/>
              </w:rPr>
              <w:t xml:space="preserve">Owner</w:t>
            </w:r>
          </w:p>
        </w:tc>
        <w:tc>
          <w:tcPr>
            <w:tcW w:type="dxa" w:w="27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Product Squad</w:t>
            </w:r>
          </w:p>
        </w:tc>
      </w:tr>
      <w:tr>
        <w:tc>
          <w:tcPr>
            <w:tcW w:type="dxa" w:w="2700"/>
            <w:tcBorders>
              <w:top w:val="single" w:color="E2E8F0" w:sz="4"/>
              <w:left w:val="single" w:color="E2E8F0" w:sz="4"/>
              <w:bottom w:val="single" w:color="E2E8F0" w:sz="4"/>
              <w:right w:val="single" w:color="E2E8F0" w:sz="4"/>
            </w:tcBorders>
            <w:shd w:fill="E8F0F7" w:val="clear"/>
            <w:tcMar>
              <w:top w:type="dxa" w:w="100"/>
              <w:left w:type="dxa" w:w="140"/>
              <w:bottom w:type="dxa" w:w="100"/>
              <w:right w:type="dxa" w:w="140"/>
            </w:tcMar>
            <w:vAlign w:val="top"/>
          </w:tcPr>
          <w:p>
            <w:pPr>
              <w:jc w:val="left"/>
            </w:pPr>
            <w:r>
              <w:rPr>
                <w:rFonts w:ascii="Arial" w:cs="Arial" w:eastAsia="Arial" w:hAnsi="Arial"/>
                <w:b/>
                <w:bCs/>
                <w:color w:val="1A3C5E"/>
                <w:sz w:val="20"/>
                <w:szCs w:val="20"/>
              </w:rPr>
              <w:t xml:space="preserve">Status</w:t>
            </w:r>
          </w:p>
        </w:tc>
        <w:tc>
          <w:tcPr>
            <w:tcW w:type="dxa" w:w="27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Internal — Confidential</w:t>
            </w:r>
          </w:p>
        </w:tc>
      </w:tr>
    </w:tbl>
    <w:p>
      <w:r>
        <w:br w:type="page"/>
      </w:r>
    </w:p>
    <w:p>
      <w:pPr>
        <w:pStyle w:val="Heading1"/>
        <w:pBdr>
          <w:bottom w:val="single" w:color="0D7377" w:sz="6" w:space="4"/>
        </w:pBdr>
        <w:spacing w:after="160" w:before="320"/>
      </w:pPr>
      <w:r>
        <w:rPr>
          <w:rFonts w:ascii="Arial" w:cs="Arial" w:eastAsia="Arial" w:hAnsi="Arial"/>
          <w:b/>
          <w:bCs/>
          <w:color w:val="1A3C5E"/>
          <w:sz w:val="32"/>
          <w:szCs w:val="32"/>
        </w:rPr>
        <w:t xml:space="preserve">Executive Summary</w:t>
      </w:r>
    </w:p>
    <w:p>
      <w:pPr>
        <w:spacing w:after="120" w:before="60"/>
      </w:pPr>
      <w:r>
        <w:rPr>
          <w:rFonts w:ascii="Arial" w:cs="Arial" w:eastAsia="Arial" w:hAnsi="Arial"/>
        </w:rPr>
        <w:t xml:space="preserve">Thailand's pet industry is one of the fastest-growing consumer markets in Southeast Asia, reaching an estimated </w:t>
      </w:r>
      <w:r>
        <w:rPr>
          <w:rFonts w:ascii="Arial" w:cs="Arial" w:eastAsia="Arial" w:hAnsi="Arial"/>
          <w:b/>
          <w:bCs/>
        </w:rPr>
        <w:t xml:space="preserve">฿75 billion (approximately USD 2.1 billion) in 2024</w:t>
      </w:r>
      <w:r>
        <w:rPr>
          <w:rStyle w:val="FootnoteReference"/>
        </w:rPr>
        <w:footnoteReference w:id="1"/>
      </w:r>
      <w:r>
        <w:rPr>
          <w:rFonts w:ascii="Arial" w:cs="Arial" w:eastAsia="Arial" w:hAnsi="Arial"/>
        </w:rPr>
        <w:t xml:space="preserve"> and projected to exceed </w:t>
      </w:r>
      <w:r>
        <w:rPr>
          <w:rFonts w:ascii="Arial" w:cs="Arial" w:eastAsia="Arial" w:hAnsi="Arial"/>
          <w:b/>
          <w:bCs/>
        </w:rPr>
        <w:t xml:space="preserve">฿92 billion in 2025.</w:t>
      </w:r>
      <w:r>
        <w:rPr>
          <w:rStyle w:val="FootnoteReference"/>
        </w:rPr>
        <w:footnoteReference w:id="2"/>
      </w:r>
      <w:r>
        <w:rPr>
          <w:rFonts w:ascii="Arial" w:cs="Arial" w:eastAsia="Arial" w:hAnsi="Arial"/>
        </w:rPr>
        <w:t xml:space="preserve"> The market has grown at a </w:t>
      </w:r>
      <w:r>
        <w:rPr>
          <w:rFonts w:ascii="Arial" w:cs="Arial" w:eastAsia="Arial" w:hAnsi="Arial"/>
          <w:b/>
          <w:bCs/>
        </w:rPr>
        <w:t xml:space="preserve">compound annual growth rate (CAGR) of 17.5% from 2019 to 2024,</w:t>
      </w:r>
      <w:r>
        <w:rPr>
          <w:rStyle w:val="FootnoteReference"/>
        </w:rPr>
        <w:footnoteReference w:id="3"/>
      </w:r>
      <w:r>
        <w:rPr>
          <w:rFonts w:ascii="Arial" w:cs="Arial" w:eastAsia="Arial" w:hAnsi="Arial"/>
        </w:rPr>
        <w:t xml:space="preserve"> driven by rising pet ownership rates, a structural shift toward "pet humanisation," and growing urban disposable income.</w:t>
      </w:r>
    </w:p>
    <w:p>
      <w:pPr>
        <w:spacing w:after="120" w:before="60"/>
      </w:pPr>
      <w:r>
        <w:rPr>
          <w:rFonts w:ascii="Arial" w:cs="Arial" w:eastAsia="Arial" w:hAnsi="Arial"/>
        </w:rPr>
        <w:t xml:space="preserve">Within this market, the </w:t>
      </w:r>
      <w:r>
        <w:rPr>
          <w:rFonts w:ascii="Arial" w:cs="Arial" w:eastAsia="Arial" w:hAnsi="Arial"/>
          <w:b/>
          <w:bCs/>
        </w:rPr>
        <w:t xml:space="preserve">pet services segment </w:t>
      </w:r>
      <w:r>
        <w:rPr>
          <w:rFonts w:ascii="Arial" w:cs="Arial" w:eastAsia="Arial" w:hAnsi="Arial"/>
        </w:rPr>
        <w:t xml:space="preserve">— encompassing grooming, boarding, veterinary care, and training — generated </w:t>
      </w:r>
      <w:r>
        <w:rPr>
          <w:rFonts w:ascii="Arial" w:cs="Arial" w:eastAsia="Arial" w:hAnsi="Arial"/>
          <w:b/>
          <w:bCs/>
        </w:rPr>
        <w:t xml:space="preserve">USD 80 million in revenue in 2023</w:t>
      </w:r>
      <w:r>
        <w:rPr>
          <w:rStyle w:val="FootnoteReference"/>
        </w:rPr>
        <w:footnoteReference w:id="6"/>
      </w:r>
      <w:r>
        <w:rPr>
          <w:rFonts w:ascii="Arial" w:cs="Arial" w:eastAsia="Arial" w:hAnsi="Arial"/>
        </w:rPr>
        <w:t xml:space="preserve"> and is forecast to reach </w:t>
      </w:r>
      <w:r>
        <w:rPr>
          <w:rFonts w:ascii="Arial" w:cs="Arial" w:eastAsia="Arial" w:hAnsi="Arial"/>
          <w:b/>
          <w:bCs/>
        </w:rPr>
        <w:t xml:space="preserve">USD 166.8 million by 2030 (CAGR 11.1%).</w:t>
      </w:r>
      <w:r>
        <w:rPr>
          <w:rStyle w:val="FootnoteReference"/>
        </w:rPr>
        <w:footnoteReference w:id="6"/>
      </w:r>
      <w:r>
        <w:rPr>
          <w:rFonts w:ascii="Arial" w:cs="Arial" w:eastAsia="Arial" w:hAnsi="Arial"/>
        </w:rPr>
        <w:t xml:space="preserve"> The pet grooming sub-segment specifically reached </w:t>
      </w:r>
      <w:r>
        <w:rPr>
          <w:rFonts w:ascii="Arial" w:cs="Arial" w:eastAsia="Arial" w:hAnsi="Arial"/>
          <w:b/>
          <w:bCs/>
        </w:rPr>
        <w:t xml:space="preserve">USD 70 million in 2024</w:t>
      </w:r>
      <w:r>
        <w:rPr>
          <w:rStyle w:val="FootnoteReference"/>
        </w:rPr>
        <w:footnoteReference w:id="7"/>
      </w:r>
      <w:r>
        <w:rPr>
          <w:rFonts w:ascii="Arial" w:cs="Arial" w:eastAsia="Arial" w:hAnsi="Arial"/>
        </w:rPr>
        <w:t xml:space="preserve"> and is expected to grow at a </w:t>
      </w:r>
      <w:r>
        <w:rPr>
          <w:rFonts w:ascii="Arial" w:cs="Arial" w:eastAsia="Arial" w:hAnsi="Arial"/>
          <w:b/>
          <w:bCs/>
        </w:rPr>
        <w:t xml:space="preserve">CAGR of 9.2%</w:t>
      </w:r>
      <w:r>
        <w:rPr>
          <w:rStyle w:val="FootnoteReference"/>
        </w:rPr>
        <w:footnoteReference w:id="7"/>
      </w:r>
      <w:r>
        <w:rPr>
          <w:rFonts w:ascii="Arial" w:cs="Arial" w:eastAsia="Arial" w:hAnsi="Arial"/>
        </w:rPr>
        <w:t xml:space="preserve"> through 2030.</w:t>
      </w:r>
    </w:p>
    <w:p>
      <w:pPr>
        <w:spacing w:after="120" w:before="60"/>
      </w:pPr>
      <w:r>
        <w:rPr>
          <w:rFonts w:ascii="Arial" w:cs="Arial" w:eastAsia="Arial" w:hAnsi="Arial"/>
        </w:rPr>
        <w:t xml:space="preserve">Pawtal's target launch zone — Bangkok's Sukhumvit corridor — is home to a high concentration of urban, tech-savvy pet owners willing to pay a premium for professional, bookable pet care services. The market is significantly under-served digitally: most pet service providers still rely on LINE messaging and Facebook for appointment management, creating a clear opportunity for a purpose-built, mobile-first booking platform.</w:t>
      </w:r>
    </w:p>
    <w:p>
      <w:pPr>
        <w:spacing w:after="8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Pet Market 2024</w:t>
            </w:r>
          </w:p>
        </w:tc>
        <w:tc>
          <w:tcPr>
            <w:tcW w:type="dxa" w:w="2016"/>
            <w:tcBorders>
              <w:top w:val="single" w:color="0D7377" w:sz="4"/>
              <w:left w:val="single" w:color="0D7377" w:sz="4"/>
              <w:bottom w:val="single" w:color="0D7377" w:sz="4"/>
              <w:right w:val="single" w:color="0D7377" w:sz="4"/>
            </w:tcBorders>
            <w:shd w:fill="0D7377"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CAGR (2019–24)</w:t>
            </w:r>
          </w:p>
        </w:tc>
        <w:tc>
          <w:tcPr>
            <w:tcW w:type="dxa" w:w="2016"/>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Pet Population</w:t>
            </w:r>
          </w:p>
        </w:tc>
        <w:tc>
          <w:tcPr>
            <w:tcW w:type="dxa" w:w="2016"/>
            <w:tcBorders>
              <w:top w:val="single" w:color="0D7377" w:sz="4"/>
              <w:left w:val="single" w:color="0D7377" w:sz="4"/>
              <w:bottom w:val="single" w:color="0D7377" w:sz="4"/>
              <w:right w:val="single" w:color="0D7377" w:sz="4"/>
            </w:tcBorders>
            <w:shd w:fill="0D7377"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Households w/ Pets</w:t>
            </w:r>
          </w:p>
        </w:tc>
        <w:tc>
          <w:tcPr>
            <w:tcW w:type="dxa" w:w="2016"/>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Avg. Annual Spend</w:t>
            </w:r>
          </w:p>
        </w:tc>
      </w:tr>
      <w:tr>
        <w:tc>
          <w:tcPr>
            <w:tcW w:type="dxa" w:w="2016"/>
            <w:tcBorders>
              <w:top w:val="single" w:color="E2E8F0" w:sz="4"/>
              <w:left w:val="single" w:color="E2E8F0" w:sz="4"/>
              <w:bottom w:val="single" w:color="E2E8F0" w:sz="4"/>
              <w:right w:val="single" w:color="E2E8F0" w:sz="4"/>
            </w:tcBorders>
            <w:shd w:fill="E8F0F7" w:val="clear"/>
            <w:tcMar>
              <w:top w:type="dxa" w:w="100"/>
              <w:left w:type="dxa" w:w="140"/>
              <w:bottom w:type="dxa" w:w="100"/>
              <w:right w:type="dxa" w:w="140"/>
            </w:tcMar>
            <w:vAlign w:val="top"/>
          </w:tcPr>
          <w:p>
            <w:pPr>
              <w:spacing w:after="8" w:before="40"/>
              <w:jc w:val="center"/>
            </w:pPr>
            <w:r>
              <w:rPr>
                <w:rFonts w:ascii="Arial" w:cs="Arial" w:eastAsia="Arial" w:hAnsi="Arial"/>
                <w:b/>
                <w:bCs/>
                <w:color w:val="1A3C5E"/>
                <w:sz w:val="26"/>
                <w:szCs w:val="26"/>
              </w:rPr>
              <w:t xml:space="preserve">฿75 Billion</w:t>
            </w:r>
          </w:p>
          <w:p>
            <w:pPr>
              <w:jc w:val="center"/>
            </w:pPr>
            <w:r>
              <w:rPr>
                <w:rFonts w:ascii="Arial" w:cs="Arial" w:eastAsia="Arial" w:hAnsi="Arial"/>
                <w:color w:val="64748B"/>
                <w:sz w:val="18"/>
                <w:szCs w:val="18"/>
              </w:rPr>
              <w:t xml:space="preserve">~USD 2.1B</w:t>
            </w:r>
          </w:p>
        </w:tc>
        <w:tc>
          <w:tcPr>
            <w:tcW w:type="dxa" w:w="2016"/>
            <w:tcBorders>
              <w:top w:val="single" w:color="E2E8F0" w:sz="4"/>
              <w:left w:val="single" w:color="E2E8F0" w:sz="4"/>
              <w:bottom w:val="single" w:color="E2E8F0" w:sz="4"/>
              <w:right w:val="single" w:color="E2E8F0" w:sz="4"/>
            </w:tcBorders>
            <w:shd w:fill="CCFBF1" w:val="clear"/>
            <w:tcMar>
              <w:top w:type="dxa" w:w="100"/>
              <w:left w:type="dxa" w:w="140"/>
              <w:bottom w:type="dxa" w:w="100"/>
              <w:right w:type="dxa" w:w="140"/>
            </w:tcMar>
            <w:vAlign w:val="top"/>
          </w:tcPr>
          <w:p>
            <w:pPr>
              <w:spacing w:after="8" w:before="40"/>
              <w:jc w:val="center"/>
            </w:pPr>
            <w:r>
              <w:rPr>
                <w:rFonts w:ascii="Arial" w:cs="Arial" w:eastAsia="Arial" w:hAnsi="Arial"/>
                <w:b/>
                <w:bCs/>
                <w:color w:val="0D7377"/>
                <w:sz w:val="26"/>
                <w:szCs w:val="26"/>
              </w:rPr>
              <w:t xml:space="preserve">17.5%</w:t>
            </w:r>
          </w:p>
          <w:p>
            <w:pPr>
              <w:jc w:val="center"/>
            </w:pPr>
            <w:r>
              <w:rPr>
                <w:rFonts w:ascii="Arial" w:cs="Arial" w:eastAsia="Arial" w:hAnsi="Arial"/>
                <w:color w:val="64748B"/>
                <w:sz w:val="18"/>
                <w:szCs w:val="18"/>
              </w:rPr>
              <w:t xml:space="preserve">Per year</w:t>
            </w:r>
          </w:p>
        </w:tc>
        <w:tc>
          <w:tcPr>
            <w:tcW w:type="dxa" w:w="2016"/>
            <w:tcBorders>
              <w:top w:val="single" w:color="E2E8F0" w:sz="4"/>
              <w:left w:val="single" w:color="E2E8F0" w:sz="4"/>
              <w:bottom w:val="single" w:color="E2E8F0" w:sz="4"/>
              <w:right w:val="single" w:color="E2E8F0" w:sz="4"/>
            </w:tcBorders>
            <w:shd w:fill="E8F0F7" w:val="clear"/>
            <w:tcMar>
              <w:top w:type="dxa" w:w="100"/>
              <w:left w:type="dxa" w:w="140"/>
              <w:bottom w:type="dxa" w:w="100"/>
              <w:right w:type="dxa" w:w="140"/>
            </w:tcMar>
            <w:vAlign w:val="top"/>
          </w:tcPr>
          <w:p>
            <w:pPr>
              <w:spacing w:after="8" w:before="40"/>
              <w:jc w:val="center"/>
            </w:pPr>
            <w:r>
              <w:rPr>
                <w:rFonts w:ascii="Arial" w:cs="Arial" w:eastAsia="Arial" w:hAnsi="Arial"/>
                <w:b/>
                <w:bCs/>
                <w:color w:val="1A3C5E"/>
                <w:sz w:val="26"/>
                <w:szCs w:val="26"/>
              </w:rPr>
              <w:t xml:space="preserve">5.08M</w:t>
            </w:r>
          </w:p>
          <w:p>
            <w:pPr>
              <w:jc w:val="center"/>
            </w:pPr>
            <w:r>
              <w:rPr>
                <w:rFonts w:ascii="Arial" w:cs="Arial" w:eastAsia="Arial" w:hAnsi="Arial"/>
                <w:color w:val="64748B"/>
                <w:sz w:val="18"/>
                <w:szCs w:val="18"/>
              </w:rPr>
              <w:t xml:space="preserve">Registered pets</w:t>
            </w:r>
          </w:p>
        </w:tc>
        <w:tc>
          <w:tcPr>
            <w:tcW w:type="dxa" w:w="2016"/>
            <w:tcBorders>
              <w:top w:val="single" w:color="E2E8F0" w:sz="4"/>
              <w:left w:val="single" w:color="E2E8F0" w:sz="4"/>
              <w:bottom w:val="single" w:color="E2E8F0" w:sz="4"/>
              <w:right w:val="single" w:color="E2E8F0" w:sz="4"/>
            </w:tcBorders>
            <w:shd w:fill="CCFBF1" w:val="clear"/>
            <w:tcMar>
              <w:top w:type="dxa" w:w="100"/>
              <w:left w:type="dxa" w:w="140"/>
              <w:bottom w:type="dxa" w:w="100"/>
              <w:right w:type="dxa" w:w="140"/>
            </w:tcMar>
            <w:vAlign w:val="top"/>
          </w:tcPr>
          <w:p>
            <w:pPr>
              <w:spacing w:after="8" w:before="40"/>
              <w:jc w:val="center"/>
            </w:pPr>
            <w:r>
              <w:rPr>
                <w:rFonts w:ascii="Arial" w:cs="Arial" w:eastAsia="Arial" w:hAnsi="Arial"/>
                <w:b/>
                <w:bCs/>
                <w:color w:val="0D7377"/>
                <w:sz w:val="26"/>
                <w:szCs w:val="26"/>
              </w:rPr>
              <w:t xml:space="preserve">&gt;70%</w:t>
            </w:r>
          </w:p>
          <w:p>
            <w:pPr>
              <w:jc w:val="center"/>
            </w:pPr>
            <w:r>
              <w:rPr>
                <w:rFonts w:ascii="Arial" w:cs="Arial" w:eastAsia="Arial" w:hAnsi="Arial"/>
                <w:color w:val="64748B"/>
                <w:sz w:val="18"/>
                <w:szCs w:val="18"/>
              </w:rPr>
              <w:t xml:space="preserve">Thai households</w:t>
            </w:r>
          </w:p>
        </w:tc>
        <w:tc>
          <w:tcPr>
            <w:tcW w:type="dxa" w:w="2016"/>
            <w:tcBorders>
              <w:top w:val="single" w:color="E2E8F0" w:sz="4"/>
              <w:left w:val="single" w:color="E2E8F0" w:sz="4"/>
              <w:bottom w:val="single" w:color="E2E8F0" w:sz="4"/>
              <w:right w:val="single" w:color="E2E8F0" w:sz="4"/>
            </w:tcBorders>
            <w:shd w:fill="E8F0F7" w:val="clear"/>
            <w:tcMar>
              <w:top w:type="dxa" w:w="100"/>
              <w:left w:type="dxa" w:w="140"/>
              <w:bottom w:type="dxa" w:w="100"/>
              <w:right w:type="dxa" w:w="140"/>
            </w:tcMar>
            <w:vAlign w:val="top"/>
          </w:tcPr>
          <w:p>
            <w:pPr>
              <w:spacing w:after="8" w:before="40"/>
              <w:jc w:val="center"/>
            </w:pPr>
            <w:r>
              <w:rPr>
                <w:rFonts w:ascii="Arial" w:cs="Arial" w:eastAsia="Arial" w:hAnsi="Arial"/>
                <w:b/>
                <w:bCs/>
                <w:color w:val="1A3C5E"/>
                <w:sz w:val="26"/>
                <w:szCs w:val="26"/>
              </w:rPr>
              <w:t xml:space="preserve">฿41,100</w:t>
            </w:r>
          </w:p>
          <w:p>
            <w:pPr>
              <w:jc w:val="center"/>
            </w:pPr>
            <w:r>
              <w:rPr>
                <w:rFonts w:ascii="Arial" w:cs="Arial" w:eastAsia="Arial" w:hAnsi="Arial"/>
                <w:color w:val="64748B"/>
                <w:sz w:val="18"/>
                <w:szCs w:val="18"/>
              </w:rPr>
              <w:t xml:space="preserve">Per pet, per year</w:t>
            </w:r>
          </w:p>
        </w:tc>
      </w:tr>
    </w:tbl>
    <w:p>
      <w:pPr>
        <w:spacing w:after="60" w:before="60"/>
      </w:pPr>
      <w:r>
        <w:rPr>
          <w:rFonts w:ascii="Arial" w:cs="Arial" w:eastAsia="Arial" w:hAnsi="Arial"/>
        </w:rPr>
        <w:t xml:space="preserve">Sources: </w:t>
      </w:r>
      <w:hyperlink w:history="1" r:id="rIdkbqsubrchv07cpce0kxil">
        <w:r>
          <w:rPr>
            <w:rStyle w:val="Hyperlink"/>
            <w:rFonts w:ascii="Arial" w:cs="Arial" w:eastAsia="Arial" w:hAnsi="Arial"/>
            <w:sz w:val="18"/>
            <w:szCs w:val="18"/>
          </w:rPr>
          <w:t xml:space="preserve">ttb analytics via Nation Thailand¹</w:t>
        </w:r>
      </w:hyperlink>
      <w:r>
        <w:rPr>
          <w:rFonts w:ascii="Arial" w:cs="Arial" w:eastAsia="Arial" w:hAnsi="Arial"/>
        </w:rPr>
        <w:t xml:space="preserve"> · </w:t>
      </w:r>
      <w:hyperlink w:history="1" r:id="rIdn17xgv2riztrtsyutfgfa">
        <w:r>
          <w:rPr>
            <w:rStyle w:val="Hyperlink"/>
            <w:rFonts w:ascii="Arial" w:cs="Arial" w:eastAsia="Arial" w:hAnsi="Arial"/>
            <w:sz w:val="18"/>
            <w:szCs w:val="18"/>
          </w:rPr>
          <w:t xml:space="preserve">Kasetsart University⁴</w:t>
        </w:r>
      </w:hyperlink>
      <w:r>
        <w:rPr>
          <w:rFonts w:ascii="Arial" w:cs="Arial" w:eastAsia="Arial" w:hAnsi="Arial"/>
        </w:rPr>
        <w:t xml:space="preserve"> · </w:t>
      </w:r>
      <w:hyperlink w:history="1" r:id="rIdzr_tyoizwvptm6eslml_-">
        <w:r>
          <w:rPr>
            <w:rStyle w:val="Hyperlink"/>
            <w:rFonts w:ascii="Arial" w:cs="Arial" w:eastAsia="Arial" w:hAnsi="Arial"/>
            <w:sz w:val="18"/>
            <w:szCs w:val="18"/>
          </w:rPr>
          <w:t xml:space="preserve">TGM Research⁸</w:t>
        </w:r>
      </w:hyperlink>
    </w:p>
    <w:p>
      <w:r>
        <w:br w:type="page"/>
      </w:r>
    </w:p>
    <w:p>
      <w:pPr>
        <w:pStyle w:val="Heading1"/>
        <w:pBdr>
          <w:bottom w:val="single" w:color="0D7377" w:sz="6" w:space="4"/>
        </w:pBdr>
        <w:spacing w:after="160" w:before="320"/>
      </w:pPr>
      <w:r>
        <w:rPr>
          <w:rFonts w:ascii="Arial" w:cs="Arial" w:eastAsia="Arial" w:hAnsi="Arial"/>
          <w:b/>
          <w:bCs/>
          <w:color w:val="1A3C5E"/>
          <w:sz w:val="32"/>
          <w:szCs w:val="32"/>
        </w:rPr>
        <w:t xml:space="preserve">1.  Thailand Pet Industry Overview</w:t>
      </w:r>
    </w:p>
    <w:p>
      <w:pPr>
        <w:pStyle w:val="Heading2"/>
        <w:spacing w:after="120" w:before="240"/>
      </w:pPr>
      <w:r>
        <w:rPr>
          <w:rFonts w:ascii="Arial" w:cs="Arial" w:eastAsia="Arial" w:hAnsi="Arial"/>
          <w:b/>
          <w:bCs/>
          <w:color w:val="0D7377"/>
          <w:sz w:val="26"/>
          <w:szCs w:val="26"/>
        </w:rPr>
        <w:t xml:space="preserve">1.1  Market Size &amp; Growth Trajectory</w:t>
      </w:r>
    </w:p>
    <w:p>
      <w:pPr>
        <w:spacing w:after="120" w:before="60"/>
      </w:pPr>
      <w:r>
        <w:rPr>
          <w:rFonts w:ascii="Arial" w:cs="Arial" w:eastAsia="Arial" w:hAnsi="Arial"/>
        </w:rPr>
        <w:t xml:space="preserve">Thailand's pet market has experienced exceptional growth over the past five years. ttb analytics reports a market value of </w:t>
      </w:r>
      <w:r>
        <w:rPr>
          <w:rFonts w:ascii="Arial" w:cs="Arial" w:eastAsia="Arial" w:hAnsi="Arial"/>
          <w:b/>
          <w:bCs/>
        </w:rPr>
        <w:t xml:space="preserve">฿75 billion in 2024,</w:t>
      </w:r>
      <w:r>
        <w:rPr>
          <w:rStyle w:val="FootnoteReference"/>
        </w:rPr>
        <w:footnoteReference w:id="1"/>
      </w:r>
      <w:r>
        <w:rPr>
          <w:rFonts w:ascii="Arial" w:cs="Arial" w:eastAsia="Arial" w:hAnsi="Arial"/>
        </w:rPr>
        <w:t xml:space="preserve"> representing 12.4% year-on-year growth, with projections from the government data presented at Pet Fair Southeast Asia 2025 indicating </w:t>
      </w:r>
      <w:r>
        <w:rPr>
          <w:rFonts w:ascii="Arial" w:cs="Arial" w:eastAsia="Arial" w:hAnsi="Arial"/>
          <w:b/>
          <w:bCs/>
        </w:rPr>
        <w:t xml:space="preserve">฿92 billion in 2025</w:t>
      </w:r>
      <w:r>
        <w:rPr>
          <w:rStyle w:val="FootnoteReference"/>
        </w:rPr>
        <w:footnoteReference w:id="2"/>
      </w:r>
      <w:r>
        <w:rPr>
          <w:rFonts w:ascii="Arial" w:cs="Arial" w:eastAsia="Arial" w:hAnsi="Arial"/>
        </w:rPr>
        <w:t xml:space="preserve"> and a trajectory to surpass </w:t>
      </w:r>
      <w:r>
        <w:rPr>
          <w:rFonts w:ascii="Arial" w:cs="Arial" w:eastAsia="Arial" w:hAnsi="Arial"/>
          <w:b/>
          <w:bCs/>
        </w:rPr>
        <w:t xml:space="preserve">฿100 billion by 2026.</w:t>
      </w:r>
      <w:r>
        <w:rPr>
          <w:rStyle w:val="FootnoteReference"/>
        </w:rPr>
        <w:footnoteReference w:id="2"/>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2360"/>
        <w:gridCol w:w="2360"/>
        <w:gridCol w:w="2000"/>
      </w:tblGrid>
      <w:tr>
        <w:tc>
          <w:tcPr>
            <w:tcW w:type="dxa" w:w="336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Market Segment (2024)</w:t>
            </w:r>
          </w:p>
        </w:tc>
        <w:tc>
          <w:tcPr>
            <w:tcW w:type="dxa" w:w="236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Value (THB)</w:t>
            </w:r>
          </w:p>
        </w:tc>
        <w:tc>
          <w:tcPr>
            <w:tcW w:type="dxa" w:w="236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Value (USD approx.)</w:t>
            </w:r>
          </w:p>
        </w:tc>
        <w:tc>
          <w:tcPr>
            <w:tcW w:type="dxa" w:w="20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Source</w:t>
            </w:r>
          </w:p>
        </w:tc>
      </w:tr>
      <w:tr>
        <w:tc>
          <w:tcPr>
            <w:tcW w:type="dxa" w:w="3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Pet food (domestic)</w:t>
            </w:r>
          </w:p>
        </w:tc>
        <w:tc>
          <w:tcPr>
            <w:tcW w:type="dxa" w:w="23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฿44.6 billion</w:t>
            </w:r>
          </w:p>
        </w:tc>
        <w:tc>
          <w:tcPr>
            <w:tcW w:type="dxa" w:w="2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USD 1.24B</w:t>
            </w:r>
          </w:p>
        </w:tc>
        <w:tc>
          <w:tcPr>
            <w:tcW w:type="dxa" w:w="20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Mordor Intelligence¹¹</w:t>
            </w:r>
          </w:p>
        </w:tc>
      </w:tr>
      <w:tr>
        <w:tc>
          <w:tcPr>
            <w:tcW w:type="dxa" w:w="3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Pet accessories &amp; products</w:t>
            </w:r>
          </w:p>
        </w:tc>
        <w:tc>
          <w:tcPr>
            <w:tcW w:type="dxa" w:w="23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฿22.9 billion</w:t>
            </w:r>
          </w:p>
        </w:tc>
        <w:tc>
          <w:tcPr>
            <w:tcW w:type="dxa" w:w="2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USD 636M</w:t>
            </w:r>
          </w:p>
        </w:tc>
        <w:tc>
          <w:tcPr>
            <w:tcW w:type="dxa" w:w="20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ttb analytics¹</w:t>
            </w:r>
          </w:p>
        </w:tc>
      </w:tr>
      <w:tr>
        <w:tc>
          <w:tcPr>
            <w:tcW w:type="dxa" w:w="3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Veterinary services</w:t>
            </w:r>
          </w:p>
        </w:tc>
        <w:tc>
          <w:tcPr>
            <w:tcW w:type="dxa" w:w="23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฿6.64 billion</w:t>
            </w:r>
          </w:p>
        </w:tc>
        <w:tc>
          <w:tcPr>
            <w:tcW w:type="dxa" w:w="2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USD 184M</w:t>
            </w:r>
          </w:p>
        </w:tc>
        <w:tc>
          <w:tcPr>
            <w:tcW w:type="dxa" w:w="20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ttb analytics¹</w:t>
            </w:r>
          </w:p>
        </w:tc>
      </w:tr>
      <w:tr>
        <w:tc>
          <w:tcPr>
            <w:tcW w:type="dxa" w:w="3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Pet grooming services</w:t>
            </w:r>
          </w:p>
        </w:tc>
        <w:tc>
          <w:tcPr>
            <w:tcW w:type="dxa" w:w="23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฿2.52B est. (USD 70M)</w:t>
            </w:r>
          </w:p>
        </w:tc>
        <w:tc>
          <w:tcPr>
            <w:tcW w:type="dxa" w:w="2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USD 70M</w:t>
            </w:r>
          </w:p>
        </w:tc>
        <w:tc>
          <w:tcPr>
            <w:tcW w:type="dxa" w:w="20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Grand View Research⁷</w:t>
            </w:r>
          </w:p>
        </w:tc>
      </w:tr>
      <w:tr>
        <w:tc>
          <w:tcPr>
            <w:tcW w:type="dxa" w:w="3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Other pet care services</w:t>
            </w:r>
          </w:p>
        </w:tc>
        <w:tc>
          <w:tcPr>
            <w:tcW w:type="dxa" w:w="23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฿660 million</w:t>
            </w:r>
          </w:p>
        </w:tc>
        <w:tc>
          <w:tcPr>
            <w:tcW w:type="dxa" w:w="2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USD 18.3M</w:t>
            </w:r>
          </w:p>
        </w:tc>
        <w:tc>
          <w:tcPr>
            <w:tcW w:type="dxa" w:w="20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ttb analytics¹</w:t>
            </w:r>
          </w:p>
        </w:tc>
      </w:tr>
      <w:tr>
        <w:tc>
          <w:tcPr>
            <w:tcW w:type="dxa" w:w="3360"/>
            <w:tcBorders>
              <w:top w:val="single" w:color="E2E8F0" w:sz="4"/>
              <w:left w:val="single" w:color="E2E8F0" w:sz="4"/>
              <w:bottom w:val="single" w:color="E2E8F0" w:sz="4"/>
              <w:right w:val="single" w:color="E2E8F0" w:sz="4"/>
            </w:tcBorders>
            <w:shd w:fill="E8F0F7" w:val="clear"/>
            <w:tcMar>
              <w:top w:type="dxa" w:w="100"/>
              <w:left w:type="dxa" w:w="140"/>
              <w:bottom w:type="dxa" w:w="100"/>
              <w:right w:type="dxa" w:w="140"/>
            </w:tcMar>
            <w:vAlign w:val="top"/>
          </w:tcPr>
          <w:p>
            <w:pPr>
              <w:jc w:val="left"/>
            </w:pPr>
            <w:r>
              <w:rPr>
                <w:rFonts w:ascii="Arial" w:cs="Arial" w:eastAsia="Arial" w:hAnsi="Arial"/>
                <w:b/>
                <w:bCs/>
                <w:color w:val="1E293B"/>
                <w:sz w:val="20"/>
                <w:szCs w:val="20"/>
              </w:rPr>
              <w:t xml:space="preserve">Total pet market</w:t>
            </w:r>
          </w:p>
        </w:tc>
        <w:tc>
          <w:tcPr>
            <w:tcW w:type="dxa" w:w="2360"/>
            <w:tcBorders>
              <w:top w:val="single" w:color="E2E8F0" w:sz="4"/>
              <w:left w:val="single" w:color="E2E8F0" w:sz="4"/>
              <w:bottom w:val="single" w:color="E2E8F0" w:sz="4"/>
              <w:right w:val="single" w:color="E2E8F0" w:sz="4"/>
            </w:tcBorders>
            <w:shd w:fill="E8F0F7" w:val="clear"/>
            <w:tcMar>
              <w:top w:type="dxa" w:w="100"/>
              <w:left w:type="dxa" w:w="140"/>
              <w:bottom w:type="dxa" w:w="100"/>
              <w:right w:type="dxa" w:w="140"/>
            </w:tcMar>
            <w:vAlign w:val="top"/>
          </w:tcPr>
          <w:p>
            <w:pPr>
              <w:jc w:val="left"/>
            </w:pPr>
            <w:r>
              <w:rPr>
                <w:rFonts w:ascii="Arial" w:cs="Arial" w:eastAsia="Arial" w:hAnsi="Arial"/>
                <w:b/>
                <w:bCs/>
                <w:color w:val="1E293B"/>
                <w:sz w:val="20"/>
                <w:szCs w:val="20"/>
              </w:rPr>
              <w:t xml:space="preserve">฿75 billion</w:t>
            </w:r>
          </w:p>
        </w:tc>
        <w:tc>
          <w:tcPr>
            <w:tcW w:type="dxa" w:w="2360"/>
            <w:tcBorders>
              <w:top w:val="single" w:color="E2E8F0" w:sz="4"/>
              <w:left w:val="single" w:color="E2E8F0" w:sz="4"/>
              <w:bottom w:val="single" w:color="E2E8F0" w:sz="4"/>
              <w:right w:val="single" w:color="E2E8F0" w:sz="4"/>
            </w:tcBorders>
            <w:shd w:fill="E8F0F7" w:val="clear"/>
            <w:tcMar>
              <w:top w:type="dxa" w:w="100"/>
              <w:left w:type="dxa" w:w="140"/>
              <w:bottom w:type="dxa" w:w="100"/>
              <w:right w:type="dxa" w:w="140"/>
            </w:tcMar>
            <w:vAlign w:val="top"/>
          </w:tcPr>
          <w:p>
            <w:pPr>
              <w:jc w:val="left"/>
            </w:pPr>
            <w:r>
              <w:rPr>
                <w:rFonts w:ascii="Arial" w:cs="Arial" w:eastAsia="Arial" w:hAnsi="Arial"/>
                <w:b/>
                <w:bCs/>
                <w:color w:val="1E293B"/>
                <w:sz w:val="20"/>
                <w:szCs w:val="20"/>
              </w:rPr>
              <w:t xml:space="preserve">USD 2.08B</w:t>
            </w:r>
          </w:p>
        </w:tc>
        <w:tc>
          <w:tcPr>
            <w:tcW w:type="dxa" w:w="20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ttb analytics¹</w:t>
            </w:r>
          </w:p>
        </w:tc>
      </w:tr>
    </w:tbl>
    <w:p>
      <w:pPr>
        <w:spacing w:after="80" w:before="0"/>
      </w:pPr>
      <w:r>
        <w:rPr>
          <w:rFonts w:ascii="Arial" w:cs="Arial" w:eastAsia="Arial" w:hAnsi="Arial"/>
        </w:rPr>
        <w:t xml:space="preserve"/>
      </w:r>
    </w:p>
    <w:p>
      <w:pPr>
        <w:pStyle w:val="Heading2"/>
        <w:spacing w:after="120" w:before="240"/>
      </w:pPr>
      <w:r>
        <w:rPr>
          <w:rFonts w:ascii="Arial" w:cs="Arial" w:eastAsia="Arial" w:hAnsi="Arial"/>
          <w:b/>
          <w:bCs/>
          <w:color w:val="0D7377"/>
          <w:sz w:val="26"/>
          <w:szCs w:val="26"/>
        </w:rPr>
        <w:t xml:space="preserve">1.2  Pet Population &amp; Ownership</w:t>
      </w:r>
    </w:p>
    <w:p>
      <w:pPr>
        <w:spacing w:after="120" w:before="60"/>
      </w:pPr>
      <w:r>
        <w:rPr>
          <w:rFonts w:ascii="Arial" w:cs="Arial" w:eastAsia="Arial" w:hAnsi="Arial"/>
        </w:rPr>
        <w:t xml:space="preserve">The Faculty of Veterinary Medicine at Kasetsart University conducted its second pet population survey in 2024, recording a total of </w:t>
      </w:r>
      <w:r>
        <w:rPr>
          <w:rFonts w:ascii="Arial" w:cs="Arial" w:eastAsia="Arial" w:hAnsi="Arial"/>
          <w:b/>
          <w:bCs/>
        </w:rPr>
        <w:t xml:space="preserve">5.08 million registered pets in Thailand — an 8% increase from 2023.</w:t>
      </w:r>
      <w:r>
        <w:rPr>
          <w:rStyle w:val="FootnoteReference"/>
        </w:rPr>
        <w:footnoteReference w:id="4"/>
      </w:r>
      <w:r>
        <w:rPr>
          <w:rFonts w:ascii="Arial" w:cs="Arial" w:eastAsia="Arial" w:hAnsi="Arial"/>
        </w:rPr>
        <w:t xml:space="preserve"> Kasikorn Research Centre projects </w:t>
      </w:r>
      <w:r>
        <w:rPr>
          <w:rFonts w:ascii="Arial" w:cs="Arial" w:eastAsia="Arial" w:hAnsi="Arial"/>
          <w:b/>
          <w:bCs/>
        </w:rPr>
        <w:t xml:space="preserve">3.45 million pet dogs and 1.94 million pet cats by 2025.</w:t>
      </w:r>
      <w:r>
        <w:rPr>
          <w:rStyle w:val="FootnoteReference"/>
        </w:rPr>
        <w:footnoteReference w:id="5"/>
      </w:r>
    </w:p>
    <w:p>
      <w:pPr>
        <w:spacing w:after="120" w:before="60"/>
      </w:pPr>
      <w:r>
        <w:rPr>
          <w:rFonts w:ascii="Arial" w:cs="Arial" w:eastAsia="Arial" w:hAnsi="Arial"/>
        </w:rPr>
        <w:t xml:space="preserve">TGM Research's 2024 Pet Care Survey found that </w:t>
      </w:r>
      <w:r>
        <w:rPr>
          <w:rFonts w:ascii="Arial" w:cs="Arial" w:eastAsia="Arial" w:hAnsi="Arial"/>
          <w:b/>
          <w:bCs/>
        </w:rPr>
        <w:t xml:space="preserve">over 70% of Thai households own at least one pet,</w:t>
      </w:r>
      <w:r>
        <w:rPr>
          <w:rStyle w:val="FootnoteReference"/>
        </w:rPr>
        <w:footnoteReference w:id="8"/>
      </w:r>
      <w:r>
        <w:rPr>
          <w:rFonts w:ascii="Arial" w:cs="Arial" w:eastAsia="Arial" w:hAnsi="Arial"/>
        </w:rPr>
        <w:t xml:space="preserve"> with dogs (47%) and cats (42%) being the most common. Critically, </w:t>
      </w:r>
      <w:r>
        <w:rPr>
          <w:rFonts w:ascii="Arial" w:cs="Arial" w:eastAsia="Arial" w:hAnsi="Arial"/>
          <w:b/>
          <w:bCs/>
        </w:rPr>
        <w:t xml:space="preserve">58% of Thai pet owners describe their pet as a family member,</w:t>
      </w:r>
      <w:r>
        <w:rPr>
          <w:rStyle w:val="FootnoteReference"/>
        </w:rPr>
        <w:footnoteReference w:id="8"/>
      </w:r>
      <w:r>
        <w:rPr>
          <w:rFonts w:ascii="Arial" w:cs="Arial" w:eastAsia="Arial" w:hAnsi="Arial"/>
        </w:rPr>
        <w:t xml:space="preserve"> a sentiment that directly correlates with higher spending on professional services such as grooming and veterinary care.</w:t>
      </w:r>
    </w:p>
    <w:p>
      <w:pPr>
        <w:pStyle w:val="Heading2"/>
        <w:spacing w:after="120" w:before="240"/>
      </w:pPr>
      <w:r>
        <w:rPr>
          <w:rFonts w:ascii="Arial" w:cs="Arial" w:eastAsia="Arial" w:hAnsi="Arial"/>
          <w:b/>
          <w:bCs/>
          <w:color w:val="0D7377"/>
          <w:sz w:val="26"/>
          <w:szCs w:val="26"/>
        </w:rPr>
        <w:t xml:space="preserve">1.3  Consumer Spending Patterns</w:t>
      </w:r>
    </w:p>
    <w:p>
      <w:pPr>
        <w:spacing w:after="120" w:before="60"/>
      </w:pPr>
      <w:r>
        <w:rPr>
          <w:rFonts w:ascii="Arial" w:cs="Arial" w:eastAsia="Arial" w:hAnsi="Arial"/>
        </w:rPr>
        <w:t xml:space="preserve">The "pet humanisation" trend — the growing tendency to treat pets as equivalent to human family members — is the primary demand driver in the Thai market.</w:t>
      </w:r>
      <w:r>
        <w:rPr>
          <w:rStyle w:val="FootnoteReference"/>
        </w:rPr>
        <w:footnoteReference w:id="10"/>
      </w:r>
      <w:r>
        <w:rPr>
          <w:rFonts w:ascii="Arial" w:cs="Arial" w:eastAsia="Arial" w:hAnsi="Arial"/>
        </w:rPr>
        <w:t xml:space="preserve"> This manifests in measurable spending behaviour: pet owners who view their pets as family spend an average of </w:t>
      </w:r>
      <w:r>
        <w:rPr>
          <w:rFonts w:ascii="Arial" w:cs="Arial" w:eastAsia="Arial" w:hAnsi="Arial"/>
          <w:b/>
          <w:bCs/>
        </w:rPr>
        <w:t xml:space="preserve">฿41,100 per pet per year,</w:t>
      </w:r>
      <w:r>
        <w:rPr>
          <w:rStyle w:val="FootnoteReference"/>
        </w:rPr>
        <w:footnoteReference w:id="8"/>
      </w:r>
      <w:r>
        <w:rPr>
          <w:rFonts w:ascii="Arial" w:cs="Arial" w:eastAsia="Arial" w:hAnsi="Arial"/>
        </w:rPr>
        <w:t xml:space="preserve"> compared to ฿7,745 for owners with a more utility-based relationship — a </w:t>
      </w:r>
      <w:r>
        <w:rPr>
          <w:rFonts w:ascii="Arial" w:cs="Arial" w:eastAsia="Arial" w:hAnsi="Arial"/>
          <w:b/>
          <w:bCs/>
        </w:rPr>
        <w:t xml:space="preserve">5.3× spending premium.</w:t>
      </w:r>
      <w:r>
        <w:rPr>
          <w:rStyle w:val="FootnoteReference"/>
        </w:rPr>
        <w:footnoteReference w:id="8"/>
      </w:r>
    </w:p>
    <w:p>
      <w:pPr>
        <w:spacing w:after="120" w:before="60"/>
      </w:pPr>
      <w:r>
        <w:rPr>
          <w:rFonts w:ascii="Arial" w:cs="Arial" w:eastAsia="Arial" w:hAnsi="Arial"/>
        </w:rPr>
        <w:t xml:space="preserve">Grooming services in particular are experiencing strong growth, with the segment recording its </w:t>
      </w:r>
      <w:r>
        <w:rPr>
          <w:rFonts w:ascii="Arial" w:cs="Arial" w:eastAsia="Arial" w:hAnsi="Arial"/>
          <w:b/>
          <w:bCs/>
        </w:rPr>
        <w:t xml:space="preserve">highest revenue share among all pet service types in 2023,</w:t>
      </w:r>
      <w:r>
        <w:rPr>
          <w:rStyle w:val="FootnoteReference"/>
        </w:rPr>
        <w:footnoteReference w:id="6"/>
      </w:r>
      <w:r>
        <w:rPr>
          <w:rFonts w:ascii="Arial" w:cs="Arial" w:eastAsia="Arial" w:hAnsi="Arial"/>
        </w:rPr>
        <w:t xml:space="preserve"> and pet sitting/boarding emerging as the fastest-growing sub-category for the forecast period.</w:t>
      </w:r>
      <w:r>
        <w:rPr>
          <w:rStyle w:val="FootnoteReference"/>
        </w:rPr>
        <w:footnoteReference w:id="6"/>
      </w:r>
      <w:r>
        <w:rPr>
          <w:rFonts w:ascii="Arial" w:cs="Arial" w:eastAsia="Arial" w:hAnsi="Arial"/>
        </w:rPr>
        <w:t xml:space="preserve"> Dog-related services dominate at approximately </w:t>
      </w:r>
      <w:r>
        <w:rPr>
          <w:rFonts w:ascii="Arial" w:cs="Arial" w:eastAsia="Arial" w:hAnsi="Arial"/>
          <w:b/>
          <w:bCs/>
        </w:rPr>
        <w:t xml:space="preserve">65% market share by revenue,</w:t>
      </w:r>
      <w:r>
        <w:rPr>
          <w:rStyle w:val="FootnoteReference"/>
        </w:rPr>
        <w:footnoteReference w:id="7"/>
      </w:r>
      <w:r>
        <w:rPr>
          <w:rFonts w:ascii="Arial" w:cs="Arial" w:eastAsia="Arial" w:hAnsi="Arial"/>
        </w:rPr>
        <w:t xml:space="preserve"> with cats being the fastest-growing segment at approximately </w:t>
      </w:r>
      <w:r>
        <w:rPr>
          <w:rFonts w:ascii="Arial" w:cs="Arial" w:eastAsia="Arial" w:hAnsi="Arial"/>
          <w:b/>
          <w:bCs/>
        </w:rPr>
        <w:t xml:space="preserve">12% CAGR (2024–2029).</w:t>
      </w:r>
      <w:r>
        <w:rPr>
          <w:rStyle w:val="FootnoteReference"/>
        </w:rPr>
        <w:footnoteReference w:id="11"/>
      </w:r>
    </w:p>
    <w:p>
      <w:r>
        <w:br w:type="page"/>
      </w:r>
    </w:p>
    <w:p>
      <w:pPr>
        <w:pStyle w:val="Heading1"/>
        <w:pBdr>
          <w:bottom w:val="single" w:color="0D7377" w:sz="6" w:space="4"/>
        </w:pBdr>
        <w:spacing w:after="160" w:before="320"/>
      </w:pPr>
      <w:r>
        <w:rPr>
          <w:rFonts w:ascii="Arial" w:cs="Arial" w:eastAsia="Arial" w:hAnsi="Arial"/>
          <w:b/>
          <w:bCs/>
          <w:color w:val="1A3C5E"/>
          <w:sz w:val="32"/>
          <w:szCs w:val="32"/>
        </w:rPr>
        <w:t xml:space="preserve">2.  Target Segment Analysis</w:t>
      </w:r>
    </w:p>
    <w:p>
      <w:pPr>
        <w:pStyle w:val="Heading2"/>
        <w:spacing w:after="120" w:before="240"/>
      </w:pPr>
      <w:r>
        <w:rPr>
          <w:rFonts w:ascii="Arial" w:cs="Arial" w:eastAsia="Arial" w:hAnsi="Arial"/>
          <w:b/>
          <w:bCs/>
          <w:color w:val="0D7377"/>
          <w:sz w:val="26"/>
          <w:szCs w:val="26"/>
        </w:rPr>
        <w:t xml:space="preserve">2.1  Pet Service Providers (B2B — MVP#1 Primary Target)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Provider Profile</w:t>
            </w:r>
          </w:p>
        </w:tc>
        <w:tc>
          <w:tcPr>
            <w:tcW w:type="dxa" w:w="5040"/>
            <w:tcBorders>
              <w:top w:val="single" w:color="0D7377" w:sz="4"/>
              <w:left w:val="single" w:color="0D7377" w:sz="4"/>
              <w:bottom w:val="single" w:color="0D7377" w:sz="4"/>
              <w:right w:val="single" w:color="0D7377" w:sz="4"/>
            </w:tcBorders>
            <w:shd w:fill="0D7377"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Pain Points Pawtal Addresses</w:t>
            </w:r>
          </w:p>
        </w:tc>
      </w:tr>
      <w:tr>
        <w:tc>
          <w:tcPr>
            <w:tcW w:type="dxa" w:w="504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rPr>
              <w:t xml:space="preserve">Independent pet groomers and grooming salons</w:t>
            </w:r>
          </w:p>
          <w:p>
            <w:pPr>
              <w:pStyle w:val="ListParagraph"/>
              <w:numPr>
                <w:ilvl w:val="0"/>
                <w:numId w:val="2"/>
              </w:numPr>
              <w:spacing w:after="40" w:before="40"/>
            </w:pPr>
            <w:r>
              <w:rPr>
                <w:rFonts w:ascii="Arial" w:cs="Arial" w:eastAsia="Arial" w:hAnsi="Arial"/>
              </w:rPr>
              <w:t xml:space="preserve">Veterinary clinics with additional grooming/boarding services</w:t>
            </w:r>
          </w:p>
          <w:p>
            <w:pPr>
              <w:pStyle w:val="ListParagraph"/>
              <w:numPr>
                <w:ilvl w:val="0"/>
                <w:numId w:val="2"/>
              </w:numPr>
              <w:spacing w:after="40" w:before="40"/>
            </w:pPr>
            <w:r>
              <w:rPr>
                <w:rFonts w:ascii="Arial" w:cs="Arial" w:eastAsia="Arial" w:hAnsi="Arial"/>
              </w:rPr>
              <w:t xml:space="preserve">Mobile pet grooming vans (on-demand, comes to customer)</w:t>
            </w:r>
          </w:p>
          <w:p>
            <w:pPr>
              <w:pStyle w:val="ListParagraph"/>
              <w:numPr>
                <w:ilvl w:val="0"/>
                <w:numId w:val="2"/>
              </w:numPr>
              <w:spacing w:after="40" w:before="40"/>
            </w:pPr>
            <w:r>
              <w:rPr>
                <w:rFonts w:ascii="Arial" w:cs="Arial" w:eastAsia="Arial" w:hAnsi="Arial"/>
              </w:rPr>
              <w:t xml:space="preserve">Pet hotels and boarding facilities</w:t>
            </w:r>
          </w:p>
          <w:p>
            <w:pPr>
              <w:pStyle w:val="ListParagraph"/>
              <w:numPr>
                <w:ilvl w:val="0"/>
                <w:numId w:val="2"/>
              </w:numPr>
              <w:spacing w:after="40" w:before="40"/>
            </w:pPr>
            <w:r>
              <w:rPr>
                <w:rFonts w:ascii="Arial" w:cs="Arial" w:eastAsia="Arial" w:hAnsi="Arial"/>
              </w:rPr>
              <w:t xml:space="preserve">Pet day care centres</w:t>
            </w:r>
          </w:p>
          <w:p>
            <w:pPr>
              <w:pStyle w:val="ListParagraph"/>
              <w:numPr>
                <w:ilvl w:val="0"/>
                <w:numId w:val="2"/>
              </w:numPr>
              <w:spacing w:after="40" w:before="40"/>
            </w:pPr>
            <w:r>
              <w:rPr>
                <w:rFonts w:ascii="Arial" w:cs="Arial" w:eastAsia="Arial" w:hAnsi="Arial"/>
              </w:rPr>
              <w:t xml:space="preserve">Pet training and behavioural therapy services</w:t>
            </w:r>
          </w:p>
          <w:p>
            <w:pPr>
              <w:spacing w:after="40" w:before="0"/>
            </w:pPr>
            <w:r>
              <w:rPr>
                <w:rFonts w:ascii="Arial" w:cs="Arial" w:eastAsia="Arial" w:hAnsi="Arial"/>
              </w:rPr>
              <w:t xml:space="preserve"/>
            </w:r>
          </w:p>
          <w:p>
            <w:pPr>
              <w:spacing w:after="0" w:before="40"/>
            </w:pPr>
            <w:r>
              <w:rPr>
                <w:rFonts w:ascii="Arial" w:cs="Arial" w:eastAsia="Arial" w:hAnsi="Arial"/>
                <w:b/>
                <w:bCs/>
                <w:sz w:val="20"/>
                <w:szCs w:val="20"/>
              </w:rPr>
              <w:t xml:space="preserve">Geography: </w:t>
            </w:r>
            <w:r>
              <w:rPr>
                <w:rFonts w:ascii="Arial" w:cs="Arial" w:eastAsia="Arial" w:hAnsi="Arial"/>
                <w:sz w:val="20"/>
                <w:szCs w:val="20"/>
              </w:rPr>
              <w:t xml:space="preserve">Sukhumvit (initial), expanding to all Bangkok zones</w:t>
            </w:r>
          </w:p>
          <w:p>
            <w:pPr>
              <w:spacing w:after="40" w:before="20"/>
            </w:pPr>
            <w:r>
              <w:rPr>
                <w:rFonts w:ascii="Arial" w:cs="Arial" w:eastAsia="Arial" w:hAnsi="Arial"/>
                <w:b/>
                <w:bCs/>
                <w:sz w:val="20"/>
                <w:szCs w:val="20"/>
              </w:rPr>
              <w:t xml:space="preserve">Business size: </w:t>
            </w:r>
            <w:r>
              <w:rPr>
                <w:rFonts w:ascii="Arial" w:cs="Arial" w:eastAsia="Arial" w:hAnsi="Arial"/>
                <w:sz w:val="20"/>
                <w:szCs w:val="20"/>
              </w:rPr>
              <w:t xml:space="preserve">SME (1–20 staff)</w:t>
            </w:r>
          </w:p>
        </w:tc>
        <w:tc>
          <w:tcPr>
            <w:tcW w:type="dxa" w:w="504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b/>
                <w:bCs/>
                <w:sz w:val="20"/>
                <w:szCs w:val="20"/>
              </w:rPr>
              <w:t xml:space="preserve">Client acquisition: </w:t>
            </w:r>
            <w:r>
              <w:rPr>
                <w:rFonts w:ascii="Arial" w:cs="Arial" w:eastAsia="Arial" w:hAnsi="Arial"/>
                <w:sz w:val="20"/>
                <w:szCs w:val="20"/>
              </w:rPr>
              <w:t xml:space="preserve">Dependence on LINE, Facebook and word-of-mouth; no digital inbound channel</w:t>
            </w:r>
          </w:p>
          <w:p>
            <w:pPr>
              <w:pStyle w:val="ListParagraph"/>
              <w:numPr>
                <w:ilvl w:val="0"/>
                <w:numId w:val="2"/>
              </w:numPr>
              <w:spacing w:after="40" w:before="40"/>
            </w:pPr>
            <w:r>
              <w:rPr>
                <w:rFonts w:ascii="Arial" w:cs="Arial" w:eastAsia="Arial" w:hAnsi="Arial"/>
                <w:b/>
                <w:bCs/>
                <w:sz w:val="20"/>
                <w:szCs w:val="20"/>
              </w:rPr>
              <w:t xml:space="preserve">Scheduling: </w:t>
            </w:r>
            <w:r>
              <w:rPr>
                <w:rFonts w:ascii="Arial" w:cs="Arial" w:eastAsia="Arial" w:hAnsi="Arial"/>
                <w:sz w:val="20"/>
                <w:szCs w:val="20"/>
              </w:rPr>
              <w:t xml:space="preserve">Manual appointment management via LINE chat — error-prone and time-consuming</w:t>
            </w:r>
          </w:p>
          <w:p>
            <w:pPr>
              <w:pStyle w:val="ListParagraph"/>
              <w:numPr>
                <w:ilvl w:val="0"/>
                <w:numId w:val="2"/>
              </w:numPr>
              <w:spacing w:after="40" w:before="40"/>
            </w:pPr>
            <w:r>
              <w:rPr>
                <w:rFonts w:ascii="Arial" w:cs="Arial" w:eastAsia="Arial" w:hAnsi="Arial"/>
                <w:b/>
                <w:bCs/>
                <w:sz w:val="20"/>
                <w:szCs w:val="20"/>
              </w:rPr>
              <w:t xml:space="preserve">Revenue predictability: </w:t>
            </w:r>
            <w:r>
              <w:rPr>
                <w:rFonts w:ascii="Arial" w:cs="Arial" w:eastAsia="Arial" w:hAnsi="Arial"/>
                <w:sz w:val="20"/>
                <w:szCs w:val="20"/>
              </w:rPr>
              <w:t xml:space="preserve">Income volatility from no-shows and no advance booking system</w:t>
            </w:r>
          </w:p>
          <w:p>
            <w:pPr>
              <w:pStyle w:val="ListParagraph"/>
              <w:numPr>
                <w:ilvl w:val="0"/>
                <w:numId w:val="2"/>
              </w:numPr>
              <w:spacing w:after="40" w:before="40"/>
            </w:pPr>
            <w:r>
              <w:rPr>
                <w:rFonts w:ascii="Arial" w:cs="Arial" w:eastAsia="Arial" w:hAnsi="Arial"/>
                <w:b/>
                <w:bCs/>
                <w:sz w:val="20"/>
                <w:szCs w:val="20"/>
              </w:rPr>
              <w:t xml:space="preserve">Digital presence: </w:t>
            </w:r>
            <w:r>
              <w:rPr>
                <w:rFonts w:ascii="Arial" w:cs="Arial" w:eastAsia="Arial" w:hAnsi="Arial"/>
                <w:sz w:val="20"/>
                <w:szCs w:val="20"/>
              </w:rPr>
              <w:t xml:space="preserve">No verified online profile; invisible to pet owners searching via Google/apps</w:t>
            </w:r>
          </w:p>
          <w:p>
            <w:pPr>
              <w:pStyle w:val="ListParagraph"/>
              <w:numPr>
                <w:ilvl w:val="0"/>
                <w:numId w:val="2"/>
              </w:numPr>
              <w:spacing w:after="40" w:before="40"/>
            </w:pPr>
            <w:r>
              <w:rPr>
                <w:rFonts w:ascii="Arial" w:cs="Arial" w:eastAsia="Arial" w:hAnsi="Arial"/>
                <w:b/>
                <w:bCs/>
                <w:sz w:val="20"/>
                <w:szCs w:val="20"/>
              </w:rPr>
              <w:t xml:space="preserve">Trust signals: </w:t>
            </w:r>
            <w:r>
              <w:rPr>
                <w:rFonts w:ascii="Arial" w:cs="Arial" w:eastAsia="Arial" w:hAnsi="Arial"/>
                <w:sz w:val="20"/>
                <w:szCs w:val="20"/>
              </w:rPr>
              <w:t xml:space="preserve">No review system or certification badges; difficulty building credibility with new clients</w:t>
            </w:r>
          </w:p>
        </w:tc>
      </w:tr>
    </w:tbl>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0D7377"/>
          <w:sz w:val="26"/>
          <w:szCs w:val="26"/>
        </w:rPr>
        <w:t xml:space="preserve">2.2  Pet Owners / Customers (B2C — MVP#2+ Target)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Customer Profile</w:t>
            </w:r>
          </w:p>
        </w:tc>
        <w:tc>
          <w:tcPr>
            <w:tcW w:type="dxa" w:w="5040"/>
            <w:tcBorders>
              <w:top w:val="single" w:color="0D7377" w:sz="4"/>
              <w:left w:val="single" w:color="0D7377" w:sz="4"/>
              <w:bottom w:val="single" w:color="0D7377" w:sz="4"/>
              <w:right w:val="single" w:color="0D7377" w:sz="4"/>
            </w:tcBorders>
            <w:shd w:fill="0D7377"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Unmet Needs Pawtal Solves</w:t>
            </w:r>
          </w:p>
        </w:tc>
      </w:tr>
      <w:tr>
        <w:tc>
          <w:tcPr>
            <w:tcW w:type="dxa" w:w="504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rPr>
              <w:t xml:space="preserve">Bangkok urban dwellers, age 22–45</w:t>
            </w:r>
          </w:p>
          <w:p>
            <w:pPr>
              <w:pStyle w:val="ListParagraph"/>
              <w:numPr>
                <w:ilvl w:val="0"/>
                <w:numId w:val="2"/>
              </w:numPr>
              <w:spacing w:after="40" w:before="40"/>
            </w:pPr>
            <w:r>
              <w:rPr>
                <w:rFonts w:ascii="Arial" w:cs="Arial" w:eastAsia="Arial" w:hAnsi="Arial"/>
              </w:rPr>
              <w:t xml:space="preserve">Dog and cat owners primarily (dogs 47%, cats 42% of Thai pet owners)</w:t>
            </w:r>
          </w:p>
          <w:p>
            <w:pPr>
              <w:pStyle w:val="ListParagraph"/>
              <w:numPr>
                <w:ilvl w:val="0"/>
                <w:numId w:val="2"/>
              </w:numPr>
              <w:spacing w:after="40" w:before="40"/>
            </w:pPr>
            <w:r>
              <w:rPr>
                <w:rFonts w:ascii="Arial" w:cs="Arial" w:eastAsia="Arial" w:hAnsi="Arial"/>
              </w:rPr>
              <w:t xml:space="preserve">Tech-savvy; 91.2% internet penetration nationally; mobile-first</w:t>
            </w:r>
            <w:r>
              <w:rPr>
                <w:rStyle w:val="FootnoteReference"/>
              </w:rPr>
              <w:footnoteReference w:id="12"/>
            </w:r>
          </w:p>
          <w:p>
            <w:pPr>
              <w:pStyle w:val="ListParagraph"/>
              <w:numPr>
                <w:ilvl w:val="0"/>
                <w:numId w:val="2"/>
              </w:numPr>
              <w:spacing w:after="40" w:before="40"/>
            </w:pPr>
            <w:r>
              <w:rPr>
                <w:rFonts w:ascii="Arial" w:cs="Arial" w:eastAsia="Arial" w:hAnsi="Arial"/>
              </w:rPr>
              <w:t xml:space="preserve">Dual-income households; willing to pay for quality and convenience</w:t>
            </w:r>
          </w:p>
          <w:p>
            <w:pPr>
              <w:pStyle w:val="ListParagraph"/>
              <w:numPr>
                <w:ilvl w:val="0"/>
                <w:numId w:val="2"/>
              </w:numPr>
              <w:spacing w:after="40" w:before="40"/>
            </w:pPr>
            <w:r>
              <w:rPr>
                <w:rFonts w:ascii="Arial" w:cs="Arial" w:eastAsia="Arial" w:hAnsi="Arial"/>
              </w:rPr>
              <w:t xml:space="preserve">Skew toward Sukhumvit, Thonglor, Ekkamai, Asoke areas</w:t>
            </w:r>
          </w:p>
          <w:p>
            <w:pPr>
              <w:spacing w:after="40" w:before="0"/>
            </w:pPr>
            <w:r>
              <w:rPr>
                <w:rFonts w:ascii="Arial" w:cs="Arial" w:eastAsia="Arial" w:hAnsi="Arial"/>
              </w:rPr>
              <w:t xml:space="preserve"/>
            </w:r>
          </w:p>
          <w:p>
            <w:pPr>
              <w:spacing w:after="0" w:before="40"/>
            </w:pPr>
            <w:r>
              <w:rPr>
                <w:rFonts w:ascii="Arial" w:cs="Arial" w:eastAsia="Arial" w:hAnsi="Arial"/>
                <w:b/>
                <w:bCs/>
                <w:sz w:val="20"/>
                <w:szCs w:val="20"/>
              </w:rPr>
              <w:t xml:space="preserve">Avg. annual spend: </w:t>
            </w:r>
            <w:r>
              <w:rPr>
                <w:rFonts w:ascii="Arial" w:cs="Arial" w:eastAsia="Arial" w:hAnsi="Arial"/>
                <w:sz w:val="20"/>
                <w:szCs w:val="20"/>
              </w:rPr>
              <w:t xml:space="preserve">฿41,100 per pet (TGM Research 2024)</w:t>
            </w:r>
          </w:p>
          <w:p>
            <w:pPr>
              <w:spacing w:after="40" w:before="20"/>
            </w:pPr>
            <w:r>
              <w:rPr>
                <w:rFonts w:ascii="Arial" w:cs="Arial" w:eastAsia="Arial" w:hAnsi="Arial"/>
                <w:b/>
                <w:bCs/>
                <w:sz w:val="20"/>
                <w:szCs w:val="20"/>
              </w:rPr>
              <w:t xml:space="preserve">Primary devices: </w:t>
            </w:r>
            <w:r>
              <w:rPr>
                <w:rFonts w:ascii="Arial" w:cs="Arial" w:eastAsia="Arial" w:hAnsi="Arial"/>
                <w:sz w:val="20"/>
                <w:szCs w:val="20"/>
              </w:rPr>
              <w:t xml:space="preserve">Mobile (68.3% of e-commerce via mobile)</w:t>
            </w:r>
          </w:p>
        </w:tc>
        <w:tc>
          <w:tcPr>
            <w:tcW w:type="dxa" w:w="504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b/>
                <w:bCs/>
                <w:sz w:val="20"/>
                <w:szCs w:val="20"/>
              </w:rPr>
              <w:t xml:space="preserve">Discovery: </w:t>
            </w:r>
            <w:r>
              <w:rPr>
                <w:rFonts w:ascii="Arial" w:cs="Arial" w:eastAsia="Arial" w:hAnsi="Arial"/>
                <w:sz w:val="20"/>
                <w:szCs w:val="20"/>
              </w:rPr>
              <w:t xml:space="preserve">No single platform to find vetted, nearby groomers — currently rely on Facebook groups and LINE recommendations</w:t>
            </w:r>
          </w:p>
          <w:p>
            <w:pPr>
              <w:pStyle w:val="ListParagraph"/>
              <w:numPr>
                <w:ilvl w:val="0"/>
                <w:numId w:val="2"/>
              </w:numPr>
              <w:spacing w:after="40" w:before="40"/>
            </w:pPr>
            <w:r>
              <w:rPr>
                <w:rFonts w:ascii="Arial" w:cs="Arial" w:eastAsia="Arial" w:hAnsi="Arial"/>
                <w:b/>
                <w:bCs/>
                <w:sz w:val="20"/>
                <w:szCs w:val="20"/>
              </w:rPr>
              <w:t xml:space="preserve">Transparency: </w:t>
            </w:r>
            <w:r>
              <w:rPr>
                <w:rFonts w:ascii="Arial" w:cs="Arial" w:eastAsia="Arial" w:hAnsi="Arial"/>
                <w:sz w:val="20"/>
                <w:szCs w:val="20"/>
              </w:rPr>
              <w:t xml:space="preserve">No transparent pricing or service menus before booking; sticker shock at point of payment</w:t>
            </w:r>
          </w:p>
          <w:p>
            <w:pPr>
              <w:pStyle w:val="ListParagraph"/>
              <w:numPr>
                <w:ilvl w:val="0"/>
                <w:numId w:val="2"/>
              </w:numPr>
              <w:spacing w:after="40" w:before="40"/>
            </w:pPr>
            <w:r>
              <w:rPr>
                <w:rFonts w:ascii="Arial" w:cs="Arial" w:eastAsia="Arial" w:hAnsi="Arial"/>
                <w:b/>
                <w:bCs/>
                <w:sz w:val="20"/>
                <w:szCs w:val="20"/>
              </w:rPr>
              <w:t xml:space="preserve">Booking convenience: </w:t>
            </w:r>
            <w:r>
              <w:rPr>
                <w:rFonts w:ascii="Arial" w:cs="Arial" w:eastAsia="Arial" w:hAnsi="Arial"/>
                <w:sz w:val="20"/>
                <w:szCs w:val="20"/>
              </w:rPr>
              <w:t xml:space="preserve">Cannot book online — must call or message each groomer individually on LINE</w:t>
            </w:r>
          </w:p>
          <w:p>
            <w:pPr>
              <w:pStyle w:val="ListParagraph"/>
              <w:numPr>
                <w:ilvl w:val="0"/>
                <w:numId w:val="2"/>
              </w:numPr>
              <w:spacing w:after="40" w:before="40"/>
            </w:pPr>
            <w:r>
              <w:rPr>
                <w:rFonts w:ascii="Arial" w:cs="Arial" w:eastAsia="Arial" w:hAnsi="Arial"/>
                <w:b/>
                <w:bCs/>
                <w:sz w:val="20"/>
                <w:szCs w:val="20"/>
              </w:rPr>
              <w:t xml:space="preserve">Trust &amp; verification: </w:t>
            </w:r>
            <w:r>
              <w:rPr>
                <w:rFonts w:ascii="Arial" w:cs="Arial" w:eastAsia="Arial" w:hAnsi="Arial"/>
                <w:sz w:val="20"/>
                <w:szCs w:val="20"/>
              </w:rPr>
              <w:t xml:space="preserve">No way to verify provider credentials or see authenticated reviews</w:t>
            </w:r>
          </w:p>
          <w:p>
            <w:pPr>
              <w:pStyle w:val="ListParagraph"/>
              <w:numPr>
                <w:ilvl w:val="0"/>
                <w:numId w:val="2"/>
              </w:numPr>
              <w:spacing w:after="40" w:before="40"/>
            </w:pPr>
            <w:r>
              <w:rPr>
                <w:rFonts w:ascii="Arial" w:cs="Arial" w:eastAsia="Arial" w:hAnsi="Arial"/>
                <w:b/>
                <w:bCs/>
                <w:sz w:val="20"/>
                <w:szCs w:val="20"/>
              </w:rPr>
              <w:t xml:space="preserve">Payment: </w:t>
            </w:r>
            <w:r>
              <w:rPr>
                <w:rFonts w:ascii="Arial" w:cs="Arial" w:eastAsia="Arial" w:hAnsi="Arial"/>
                <w:sz w:val="20"/>
                <w:szCs w:val="20"/>
              </w:rPr>
              <w:t xml:space="preserve">Cash-only at many providers; no digital payment or advance deposit option</w:t>
            </w:r>
          </w:p>
        </w:tc>
      </w:tr>
    </w:tbl>
    <w:p>
      <w:r>
        <w:br w:type="page"/>
      </w:r>
    </w:p>
    <w:p>
      <w:pPr>
        <w:pStyle w:val="Heading1"/>
        <w:pBdr>
          <w:bottom w:val="single" w:color="0D7377" w:sz="6" w:space="4"/>
        </w:pBdr>
        <w:spacing w:after="160" w:before="320"/>
      </w:pPr>
      <w:r>
        <w:rPr>
          <w:rFonts w:ascii="Arial" w:cs="Arial" w:eastAsia="Arial" w:hAnsi="Arial"/>
          <w:b/>
          <w:bCs/>
          <w:color w:val="1A3C5E"/>
          <w:sz w:val="32"/>
          <w:szCs w:val="32"/>
        </w:rPr>
        <w:t xml:space="preserve">3.  Digital Landscape &amp; Platform Behaviour</w:t>
      </w:r>
    </w:p>
    <w:p>
      <w:pPr>
        <w:pStyle w:val="Heading2"/>
        <w:spacing w:after="120" w:before="240"/>
      </w:pPr>
      <w:r>
        <w:rPr>
          <w:rFonts w:ascii="Arial" w:cs="Arial" w:eastAsia="Arial" w:hAnsi="Arial"/>
          <w:b/>
          <w:bCs/>
          <w:color w:val="0D7377"/>
          <w:sz w:val="26"/>
          <w:szCs w:val="26"/>
        </w:rPr>
        <w:t xml:space="preserve">3.1  Thailand Digital Economy</w:t>
      </w:r>
    </w:p>
    <w:p>
      <w:pPr>
        <w:spacing w:after="120" w:before="60"/>
      </w:pPr>
      <w:r>
        <w:rPr>
          <w:rFonts w:ascii="Arial" w:cs="Arial" w:eastAsia="Arial" w:hAnsi="Arial"/>
        </w:rPr>
        <w:t xml:space="preserve">Thailand is one of the most digitally advanced economies in Southeast Asia. As of January 2025, the country had </w:t>
      </w:r>
      <w:r>
        <w:rPr>
          <w:rFonts w:ascii="Arial" w:cs="Arial" w:eastAsia="Arial" w:hAnsi="Arial"/>
          <w:b/>
          <w:bCs/>
        </w:rPr>
        <w:t xml:space="preserve">65.4 million internet users (91.2% penetration)</w:t>
      </w:r>
      <w:r>
        <w:rPr>
          <w:rStyle w:val="FootnoteReference"/>
        </w:rPr>
        <w:footnoteReference w:id="12"/>
      </w:r>
      <w:r>
        <w:rPr>
          <w:rFonts w:ascii="Arial" w:cs="Arial" w:eastAsia="Arial" w:hAnsi="Arial"/>
        </w:rPr>
        <w:t xml:space="preserve"> and </w:t>
      </w:r>
      <w:r>
        <w:rPr>
          <w:rFonts w:ascii="Arial" w:cs="Arial" w:eastAsia="Arial" w:hAnsi="Arial"/>
          <w:b/>
          <w:bCs/>
        </w:rPr>
        <w:t xml:space="preserve">136.1% cellular mobile connections</w:t>
      </w:r>
      <w:r>
        <w:rPr>
          <w:rStyle w:val="FootnoteReference"/>
        </w:rPr>
        <w:footnoteReference w:id="12"/>
      </w:r>
      <w:r>
        <w:rPr>
          <w:rFonts w:ascii="Arial" w:cs="Arial" w:eastAsia="Arial" w:hAnsi="Arial"/>
        </w:rPr>
        <w:t xml:space="preserve"> — indicating multiple SIM card usage. Thailand's digital economy reached an estimated </w:t>
      </w:r>
      <w:r>
        <w:rPr>
          <w:rFonts w:ascii="Arial" w:cs="Arial" w:eastAsia="Arial" w:hAnsi="Arial"/>
          <w:b/>
          <w:bCs/>
        </w:rPr>
        <w:t xml:space="preserve">USD 46 billion in 2024, growing 19% year-on-year.</w:t>
      </w:r>
      <w:r>
        <w:rPr>
          <w:rStyle w:val="FootnoteReference"/>
        </w:rPr>
        <w:footnoteReference w:id="16"/>
      </w:r>
    </w:p>
    <w:p>
      <w:pPr>
        <w:spacing w:after="120" w:before="60"/>
      </w:pPr>
      <w:r>
        <w:rPr>
          <w:rFonts w:ascii="Arial" w:cs="Arial" w:eastAsia="Arial" w:hAnsi="Arial"/>
        </w:rPr>
        <w:t xml:space="preserve">E-commerce is particularly strong: </w:t>
      </w:r>
      <w:r>
        <w:rPr>
          <w:rFonts w:ascii="Arial" w:cs="Arial" w:eastAsia="Arial" w:hAnsi="Arial"/>
          <w:b/>
          <w:bCs/>
        </w:rPr>
        <w:t xml:space="preserve">16.3 million Thais purchased goods online in 2024</w:t>
      </w:r>
      <w:r>
        <w:rPr>
          <w:rStyle w:val="FootnoteReference"/>
        </w:rPr>
        <w:footnoteReference w:id="12"/>
      </w:r>
      <w:r>
        <w:rPr>
          <w:rFonts w:ascii="Arial" w:cs="Arial" w:eastAsia="Arial" w:hAnsi="Arial"/>
        </w:rPr>
        <w:t xml:space="preserve"> (7.5% YoY growth), with total online spending reaching </w:t>
      </w:r>
      <w:r>
        <w:rPr>
          <w:rFonts w:ascii="Arial" w:cs="Arial" w:eastAsia="Arial" w:hAnsi="Arial"/>
          <w:b/>
          <w:bCs/>
        </w:rPr>
        <w:t xml:space="preserve">USD 19.3 billion.</w:t>
      </w:r>
      <w:r>
        <w:rPr>
          <w:rStyle w:val="FootnoteReference"/>
        </w:rPr>
        <w:footnoteReference w:id="12"/>
      </w:r>
      <w:r>
        <w:rPr>
          <w:rFonts w:ascii="Arial" w:cs="Arial" w:eastAsia="Arial" w:hAnsi="Arial"/>
        </w:rPr>
        <w:t xml:space="preserve"> Of critical relevance to Pawtal, </w:t>
      </w:r>
      <w:r>
        <w:rPr>
          <w:rFonts w:ascii="Arial" w:cs="Arial" w:eastAsia="Arial" w:hAnsi="Arial"/>
          <w:b/>
          <w:bCs/>
        </w:rPr>
        <w:t xml:space="preserve">68.3% of e-commerce transactions were completed on mobile devices,</w:t>
      </w:r>
      <w:r>
        <w:rPr>
          <w:rStyle w:val="FootnoteReference"/>
        </w:rPr>
        <w:footnoteReference w:id="12"/>
      </w:r>
      <w:r>
        <w:rPr>
          <w:rFonts w:ascii="Arial" w:cs="Arial" w:eastAsia="Arial" w:hAnsi="Arial"/>
        </w:rPr>
        <w:t xml:space="preserve"> validating the mobile-first product strategy.</w:t>
      </w:r>
    </w:p>
    <w:p>
      <w:pPr>
        <w:pStyle w:val="Heading2"/>
        <w:spacing w:after="120" w:before="240"/>
      </w:pPr>
      <w:r>
        <w:rPr>
          <w:rFonts w:ascii="Arial" w:cs="Arial" w:eastAsia="Arial" w:hAnsi="Arial"/>
          <w:b/>
          <w:bCs/>
          <w:color w:val="0D7377"/>
          <w:sz w:val="26"/>
          <w:szCs w:val="26"/>
        </w:rPr>
        <w:t xml:space="preserve">3.2  LINE Ecosystem &amp; SME Digitalization</w:t>
      </w:r>
    </w:p>
    <w:p>
      <w:pPr>
        <w:spacing w:after="120" w:before="60"/>
      </w:pPr>
      <w:r>
        <w:rPr>
          <w:rFonts w:ascii="Arial" w:cs="Arial" w:eastAsia="Arial" w:hAnsi="Arial"/>
        </w:rPr>
        <w:t xml:space="preserve">LINE is Thailand's dominant social/messaging platform, with over </w:t>
      </w:r>
      <w:r>
        <w:rPr>
          <w:rFonts w:ascii="Arial" w:cs="Arial" w:eastAsia="Arial" w:hAnsi="Arial"/>
          <w:b/>
          <w:bCs/>
        </w:rPr>
        <w:t xml:space="preserve">6 million LINE Official Account (LINE OA) registrations.</w:t>
      </w:r>
      <w:r>
        <w:rPr>
          <w:rStyle w:val="FootnoteReference"/>
        </w:rPr>
        <w:footnoteReference w:id="13"/>
      </w:r>
      <w:r>
        <w:rPr>
          <w:rFonts w:ascii="Arial" w:cs="Arial" w:eastAsia="Arial" w:hAnsi="Arial"/>
        </w:rPr>
        <w:t xml:space="preserve"> LINE OA Broadcast usage has grown at an average of </w:t>
      </w:r>
      <w:r>
        <w:rPr>
          <w:rFonts w:ascii="Arial" w:cs="Arial" w:eastAsia="Arial" w:hAnsi="Arial"/>
          <w:b/>
          <w:bCs/>
        </w:rPr>
        <w:t xml:space="preserve">91% per year since 2021,</w:t>
      </w:r>
      <w:r>
        <w:rPr>
          <w:rStyle w:val="FootnoteReference"/>
        </w:rPr>
        <w:footnoteReference w:id="13"/>
      </w:r>
      <w:r>
        <w:rPr>
          <w:rFonts w:ascii="Arial" w:cs="Arial" w:eastAsia="Arial" w:hAnsi="Arial"/>
        </w:rPr>
        <w:t xml:space="preserve"> making it the de facto digital storefront for Thai small businesses — including the majority of Pawtal's target provider base.</w:t>
      </w:r>
    </w:p>
    <w:p>
      <w:pPr>
        <w:spacing w:after="120" w:before="60"/>
      </w:pPr>
      <w:r>
        <w:rPr>
          <w:rFonts w:ascii="Arial" w:cs="Arial" w:eastAsia="Arial" w:hAnsi="Arial"/>
        </w:rPr>
        <w:t xml:space="preserve">This creates both an opportunity and a risk for Pawtal: providers are LINE-native and familiar with LINE OA as their primary customer communication channel. Pawtal's </w:t>
      </w:r>
      <w:r>
        <w:rPr>
          <w:rFonts w:ascii="Arial" w:cs="Arial" w:eastAsia="Arial" w:hAnsi="Arial"/>
          <w:b/>
          <w:bCs/>
        </w:rPr>
        <w:t xml:space="preserve">LIFF (LINE Front-end Framework) integration strategy</w:t>
      </w:r>
      <w:r>
        <w:rPr>
          <w:rFonts w:ascii="Arial" w:cs="Arial" w:eastAsia="Arial" w:hAnsi="Arial"/>
        </w:rPr>
        <w:t xml:space="preserve"> in MVP#1 leverages this existing behaviour — allowing providers and eventually customers to interact with Pawtal services without leaving the LINE environment, reducing friction and adoption barriers.</w:t>
      </w:r>
    </w:p>
    <w:p>
      <w:r>
        <w:br w:type="page"/>
      </w:r>
    </w:p>
    <w:p>
      <w:pPr>
        <w:pStyle w:val="Heading1"/>
        <w:pBdr>
          <w:bottom w:val="single" w:color="0D7377" w:sz="6" w:space="4"/>
        </w:pBdr>
        <w:spacing w:after="160" w:before="320"/>
      </w:pPr>
      <w:r>
        <w:rPr>
          <w:rFonts w:ascii="Arial" w:cs="Arial" w:eastAsia="Arial" w:hAnsi="Arial"/>
          <w:b/>
          <w:bCs/>
          <w:color w:val="1A3C5E"/>
          <w:sz w:val="32"/>
          <w:szCs w:val="32"/>
        </w:rPr>
        <w:t xml:space="preserve">4.  Competitive Landscape</w:t>
      </w:r>
    </w:p>
    <w:p>
      <w:pPr>
        <w:pStyle w:val="Heading2"/>
        <w:spacing w:after="120" w:before="240"/>
      </w:pPr>
      <w:r>
        <w:rPr>
          <w:rFonts w:ascii="Arial" w:cs="Arial" w:eastAsia="Arial" w:hAnsi="Arial"/>
          <w:b/>
          <w:bCs/>
          <w:color w:val="0D7377"/>
          <w:sz w:val="26"/>
          <w:szCs w:val="26"/>
        </w:rPr>
        <w:t xml:space="preserve">4.1  Landscape Overview</w:t>
      </w:r>
    </w:p>
    <w:p>
      <w:pPr>
        <w:spacing w:after="120" w:before="60"/>
      </w:pPr>
      <w:r>
        <w:rPr>
          <w:rFonts w:ascii="Arial" w:cs="Arial" w:eastAsia="Arial" w:hAnsi="Arial"/>
        </w:rPr>
        <w:t xml:space="preserve">The Thai pet services marketplace is nascent and fragmented. While Thailand's pet market is large and growing, dedicated digital booking platforms for pet services remain underdeveloped — most providers still manage bookings manually via LINE or phone. A small number of local and regional platforms have attempted to address this gap.</w:t>
      </w:r>
      <w:r>
        <w:rPr>
          <w:rStyle w:val="FootnoteReference"/>
        </w:rPr>
        <w:footnoteReference w:id="15"/>
      </w:r>
    </w:p>
    <w:p>
      <w:pPr>
        <w:pStyle w:val="Heading2"/>
        <w:spacing w:after="120" w:before="240"/>
      </w:pPr>
      <w:r>
        <w:rPr>
          <w:rFonts w:ascii="Arial" w:cs="Arial" w:eastAsia="Arial" w:hAnsi="Arial"/>
          <w:b/>
          <w:bCs/>
          <w:color w:val="0D7377"/>
          <w:sz w:val="26"/>
          <w:szCs w:val="26"/>
        </w:rPr>
        <w:t xml:space="preserve">4.2  Competitive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360"/>
        <w:gridCol w:w="1360"/>
        <w:gridCol w:w="1360"/>
        <w:gridCol w:w="1280"/>
        <w:gridCol w:w="1280"/>
        <w:gridCol w:w="1840"/>
      </w:tblGrid>
      <w:tr>
        <w:tc>
          <w:tcPr>
            <w:tcW w:type="dxa" w:w="16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Platform</w:t>
            </w:r>
          </w:p>
        </w:tc>
        <w:tc>
          <w:tcPr>
            <w:tcW w:type="dxa" w:w="136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Geography</w:t>
            </w:r>
          </w:p>
        </w:tc>
        <w:tc>
          <w:tcPr>
            <w:tcW w:type="dxa" w:w="136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Model</w:t>
            </w:r>
          </w:p>
        </w:tc>
        <w:tc>
          <w:tcPr>
            <w:tcW w:type="dxa" w:w="136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Booking</w:t>
            </w:r>
          </w:p>
        </w:tc>
        <w:tc>
          <w:tcPr>
            <w:tcW w:type="dxa" w:w="128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Payments</w:t>
            </w:r>
          </w:p>
        </w:tc>
        <w:tc>
          <w:tcPr>
            <w:tcW w:type="dxa" w:w="128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Status (2024)</w:t>
            </w:r>
          </w:p>
        </w:tc>
        <w:tc>
          <w:tcPr>
            <w:tcW w:type="dxa" w:w="184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Key Differentiator</w:t>
            </w:r>
          </w:p>
        </w:tc>
      </w:tr>
      <w:tr>
        <w:tc>
          <w:tcPr>
            <w:tcW w:type="dxa" w:w="1600"/>
            <w:tcBorders>
              <w:top w:val="single" w:color="E2E8F0" w:sz="4"/>
              <w:left w:val="single" w:color="E2E8F0" w:sz="4"/>
              <w:bottom w:val="single" w:color="E2E8F0" w:sz="4"/>
              <w:right w:val="single" w:color="E2E8F0" w:sz="4"/>
            </w:tcBorders>
            <w:shd w:fill="E8F0F7" w:val="clear"/>
            <w:tcMar>
              <w:top w:type="dxa" w:w="100"/>
              <w:left w:type="dxa" w:w="140"/>
              <w:bottom w:type="dxa" w:w="100"/>
              <w:right w:type="dxa" w:w="140"/>
            </w:tcMar>
            <w:vAlign w:val="top"/>
          </w:tcPr>
          <w:p>
            <w:pPr>
              <w:jc w:val="left"/>
            </w:pPr>
            <w:r>
              <w:rPr>
                <w:rFonts w:ascii="Arial" w:cs="Arial" w:eastAsia="Arial" w:hAnsi="Arial"/>
                <w:b/>
                <w:bCs/>
                <w:color w:val="1A3C5E"/>
                <w:sz w:val="20"/>
                <w:szCs w:val="20"/>
              </w:rPr>
              <w:t xml:space="preserve">Pawtal (us)</w:t>
            </w:r>
          </w:p>
        </w:tc>
        <w:tc>
          <w:tcPr>
            <w:tcW w:type="dxa" w:w="1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Bangkok, TH (Sukhumvit)</w:t>
            </w:r>
          </w:p>
        </w:tc>
        <w:tc>
          <w:tcPr>
            <w:tcW w:type="dxa" w:w="1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B2B+B2C Marketplace</w:t>
            </w:r>
          </w:p>
        </w:tc>
        <w:tc>
          <w:tcPr>
            <w:tcW w:type="dxa" w:w="1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 Online</w:t>
            </w:r>
          </w:p>
        </w:tc>
        <w:tc>
          <w:tcPr>
            <w:tcW w:type="dxa" w:w="128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 Wallet</w:t>
            </w:r>
          </w:p>
        </w:tc>
        <w:tc>
          <w:tcPr>
            <w:tcW w:type="dxa" w:w="128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 Building</w:t>
            </w:r>
          </w:p>
        </w:tc>
        <w:tc>
          <w:tcPr>
            <w:tcW w:type="dxa" w:w="184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Mobile-first; LINE OA integration; Sukhumvit focus</w:t>
            </w:r>
          </w:p>
        </w:tc>
      </w:tr>
      <w:tr>
        <w:tc>
          <w:tcPr>
            <w:tcW w:type="dxa" w:w="16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PetFetch</w:t>
            </w:r>
          </w:p>
        </w:tc>
        <w:tc>
          <w:tcPr>
            <w:tcW w:type="dxa" w:w="1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Bangkok, TH</w:t>
            </w:r>
          </w:p>
        </w:tc>
        <w:tc>
          <w:tcPr>
            <w:tcW w:type="dxa" w:w="1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Pet product e-commerce</w:t>
            </w:r>
          </w:p>
        </w:tc>
        <w:tc>
          <w:tcPr>
            <w:tcW w:type="dxa" w:w="1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 No</w:t>
            </w:r>
          </w:p>
        </w:tc>
        <w:tc>
          <w:tcPr>
            <w:tcW w:type="dxa" w:w="128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 Yes</w:t>
            </w:r>
          </w:p>
        </w:tc>
        <w:tc>
          <w:tcPr>
            <w:tcW w:type="dxa" w:w="128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 Limited</w:t>
            </w:r>
          </w:p>
        </w:tc>
        <w:tc>
          <w:tcPr>
            <w:tcW w:type="dxa" w:w="184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Pet supplies e-commerce; no service booking</w:t>
            </w:r>
          </w:p>
        </w:tc>
      </w:tr>
      <w:tr>
        <w:tc>
          <w:tcPr>
            <w:tcW w:type="dxa" w:w="16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TailyBuddy</w:t>
            </w:r>
          </w:p>
        </w:tc>
        <w:tc>
          <w:tcPr>
            <w:tcW w:type="dxa" w:w="1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Bangkok, TH</w:t>
            </w:r>
          </w:p>
        </w:tc>
        <w:tc>
          <w:tcPr>
            <w:tcW w:type="dxa" w:w="1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Pet supplies e-commerce</w:t>
            </w:r>
          </w:p>
        </w:tc>
        <w:tc>
          <w:tcPr>
            <w:tcW w:type="dxa" w:w="1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 No</w:t>
            </w:r>
          </w:p>
        </w:tc>
        <w:tc>
          <w:tcPr>
            <w:tcW w:type="dxa" w:w="128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 Yes</w:t>
            </w:r>
          </w:p>
        </w:tc>
        <w:tc>
          <w:tcPr>
            <w:tcW w:type="dxa" w:w="128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 Active</w:t>
            </w:r>
          </w:p>
        </w:tc>
        <w:tc>
          <w:tcPr>
            <w:tcW w:type="dxa" w:w="184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Online pet supplies retail only; no services marketplace</w:t>
            </w:r>
          </w:p>
        </w:tc>
      </w:tr>
      <w:tr>
        <w:tc>
          <w:tcPr>
            <w:tcW w:type="dxa" w:w="16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JoJo Pets (MY)</w:t>
            </w:r>
          </w:p>
        </w:tc>
        <w:tc>
          <w:tcPr>
            <w:tcW w:type="dxa" w:w="1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Malaysia (Klang Valley)</w:t>
            </w:r>
          </w:p>
        </w:tc>
        <w:tc>
          <w:tcPr>
            <w:tcW w:type="dxa" w:w="1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On-demand grooming booking</w:t>
            </w:r>
          </w:p>
        </w:tc>
        <w:tc>
          <w:tcPr>
            <w:tcW w:type="dxa" w:w="1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 App</w:t>
            </w:r>
          </w:p>
        </w:tc>
        <w:tc>
          <w:tcPr>
            <w:tcW w:type="dxa" w:w="128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 Yes</w:t>
            </w:r>
          </w:p>
        </w:tc>
        <w:tc>
          <w:tcPr>
            <w:tcW w:type="dxa" w:w="128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 Active</w:t>
            </w:r>
          </w:p>
        </w:tc>
        <w:tc>
          <w:tcPr>
            <w:tcW w:type="dxa" w:w="184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Nearest direct competitor model; Malaysia only; not in TH</w:t>
            </w:r>
          </w:p>
        </w:tc>
      </w:tr>
      <w:tr>
        <w:tc>
          <w:tcPr>
            <w:tcW w:type="dxa" w:w="16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PetPal (PH)</w:t>
            </w:r>
          </w:p>
        </w:tc>
        <w:tc>
          <w:tcPr>
            <w:tcW w:type="dxa" w:w="1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Philippines (expansion planned)</w:t>
            </w:r>
          </w:p>
        </w:tc>
        <w:tc>
          <w:tcPr>
            <w:tcW w:type="dxa" w:w="1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Pet care superapp</w:t>
            </w:r>
          </w:p>
        </w:tc>
        <w:tc>
          <w:tcPr>
            <w:tcW w:type="dxa" w:w="1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 App</w:t>
            </w:r>
          </w:p>
        </w:tc>
        <w:tc>
          <w:tcPr>
            <w:tcW w:type="dxa" w:w="128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 Yes</w:t>
            </w:r>
          </w:p>
        </w:tc>
        <w:tc>
          <w:tcPr>
            <w:tcW w:type="dxa" w:w="128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 Active</w:t>
            </w:r>
          </w:p>
        </w:tc>
        <w:tc>
          <w:tcPr>
            <w:tcW w:type="dxa" w:w="184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Vet-first; 1,500 vets + 500 clinics; SEA expansion roadmap</w:t>
            </w:r>
          </w:p>
        </w:tc>
      </w:tr>
      <w:tr>
        <w:tc>
          <w:tcPr>
            <w:tcW w:type="dxa" w:w="16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Local LINE OA providers</w:t>
            </w:r>
          </w:p>
        </w:tc>
        <w:tc>
          <w:tcPr>
            <w:tcW w:type="dxa" w:w="1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Bangkok, all zones</w:t>
            </w:r>
          </w:p>
        </w:tc>
        <w:tc>
          <w:tcPr>
            <w:tcW w:type="dxa" w:w="1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Direct booking via LINE</w:t>
            </w:r>
          </w:p>
        </w:tc>
        <w:tc>
          <w:tcPr>
            <w:tcW w:type="dxa" w:w="1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 Manual</w:t>
            </w:r>
          </w:p>
        </w:tc>
        <w:tc>
          <w:tcPr>
            <w:tcW w:type="dxa" w:w="128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 Cash only</w:t>
            </w:r>
          </w:p>
        </w:tc>
        <w:tc>
          <w:tcPr>
            <w:tcW w:type="dxa" w:w="128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 Active</w:t>
            </w:r>
          </w:p>
        </w:tc>
        <w:tc>
          <w:tcPr>
            <w:tcW w:type="dxa" w:w="184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Entrenched behaviour; zero platform fee; no discovery features</w:t>
            </w:r>
          </w:p>
        </w:tc>
      </w:tr>
    </w:tbl>
    <w:p>
      <w:pPr>
        <w:spacing w:after="80" w:before="0"/>
      </w:pPr>
      <w:r>
        <w:rPr>
          <w:rFonts w:ascii="Arial" w:cs="Arial" w:eastAsia="Arial" w:hAnsi="Arial"/>
        </w:rPr>
        <w:t xml:space="preserve"/>
      </w:r>
    </w:p>
    <w:p>
      <w:pPr>
        <w:spacing w:after="60" w:before="60"/>
      </w:pPr>
      <w:r>
        <w:rPr>
          <w:rFonts w:ascii="Arial" w:cs="Arial" w:eastAsia="Arial" w:hAnsi="Arial"/>
        </w:rPr>
        <w:t xml:space="preserve">Sources: </w:t>
      </w:r>
      <w:hyperlink w:history="1" r:id="rIdbj02_ngo6c-jxphcuq_0-">
        <w:r>
          <w:rPr>
            <w:rStyle w:val="Hyperlink"/>
            <w:rFonts w:ascii="Arial" w:cs="Arial" w:eastAsia="Arial" w:hAnsi="Arial"/>
            <w:sz w:val="18"/>
            <w:szCs w:val="18"/>
          </w:rPr>
          <w:t xml:space="preserve">Bitesize Bangkok — PetFetch Profile¹⁵</w:t>
        </w:r>
      </w:hyperlink>
      <w:r>
        <w:rPr>
          <w:rFonts w:ascii="Arial" w:cs="Arial" w:eastAsia="Arial" w:hAnsi="Arial"/>
        </w:rPr>
        <w:t xml:space="preserve"> · </w:t>
      </w:r>
      <w:hyperlink w:history="1" r:id="rIderlnecfjnyuyy7qcroeyf">
        <w:r>
          <w:rPr>
            <w:rStyle w:val="Hyperlink"/>
            <w:rFonts w:ascii="Arial" w:cs="Arial" w:eastAsia="Arial" w:hAnsi="Arial"/>
            <w:sz w:val="18"/>
            <w:szCs w:val="18"/>
          </w:rPr>
          <w:t xml:space="preserve">TechNode Global — PetPal Superapp¹⁴</w:t>
        </w:r>
      </w:hyperlink>
      <w:r>
        <w:rPr>
          <w:rFonts w:ascii="Arial" w:cs="Arial" w:eastAsia="Arial" w:hAnsi="Arial"/>
        </w:rPr>
        <w:t xml:space="preserve"> · </w:t>
      </w:r>
      <w:hyperlink w:history="1" r:id="rId8djya0zqw9k57reavcn1b">
        <w:r>
          <w:rPr>
            <w:rStyle w:val="Hyperlink"/>
            <w:rFonts w:ascii="Arial" w:cs="Arial" w:eastAsia="Arial" w:hAnsi="Arial"/>
            <w:sz w:val="18"/>
            <w:szCs w:val="18"/>
          </w:rPr>
          <w:t xml:space="preserve">Tracxn — Pet Tech Startups Thailand 2024</w:t>
        </w:r>
      </w:hyperlink>
    </w:p>
    <w:p>
      <w:pPr>
        <w:pStyle w:val="Heading2"/>
        <w:spacing w:after="120" w:before="240"/>
      </w:pPr>
      <w:r>
        <w:rPr>
          <w:rFonts w:ascii="Arial" w:cs="Arial" w:eastAsia="Arial" w:hAnsi="Arial"/>
          <w:b/>
          <w:bCs/>
          <w:color w:val="0D7377"/>
          <w:sz w:val="26"/>
          <w:szCs w:val="26"/>
        </w:rPr>
        <w:t xml:space="preserve">4.3  Competitive Advantage Summary</w:t>
      </w:r>
    </w:p>
    <w:p>
      <w:pPr>
        <w:spacing w:after="120" w:before="60"/>
      </w:pPr>
      <w:r>
        <w:rPr>
          <w:rFonts w:ascii="Arial" w:cs="Arial" w:eastAsia="Arial" w:hAnsi="Arial"/>
        </w:rPr>
        <w:t xml:space="preserve">Pawtal's primary competitive advantages are: (1) </w:t>
      </w:r>
      <w:r>
        <w:rPr>
          <w:rFonts w:ascii="Arial" w:cs="Arial" w:eastAsia="Arial" w:hAnsi="Arial"/>
          <w:b/>
          <w:bCs/>
        </w:rPr>
        <w:t xml:space="preserve">first-mover advantage</w:t>
      </w:r>
      <w:r>
        <w:rPr>
          <w:rFonts w:ascii="Arial" w:cs="Arial" w:eastAsia="Arial" w:hAnsi="Arial"/>
        </w:rPr>
        <w:t xml:space="preserve"> in a largely unaddressed Thai pet services booking market; (2) </w:t>
      </w:r>
      <w:r>
        <w:rPr>
          <w:rFonts w:ascii="Arial" w:cs="Arial" w:eastAsia="Arial" w:hAnsi="Arial"/>
          <w:b/>
          <w:bCs/>
        </w:rPr>
        <w:t xml:space="preserve">LINE OA-native acquisition strategy</w:t>
      </w:r>
      <w:r>
        <w:rPr>
          <w:rFonts w:ascii="Arial" w:cs="Arial" w:eastAsia="Arial" w:hAnsi="Arial"/>
        </w:rPr>
        <w:t xml:space="preserve"> that meets providers where they already operate; (3) </w:t>
      </w:r>
      <w:r>
        <w:rPr>
          <w:rFonts w:ascii="Arial" w:cs="Arial" w:eastAsia="Arial" w:hAnsi="Arial"/>
          <w:b/>
          <w:bCs/>
        </w:rPr>
        <w:t xml:space="preserve">Sukhumvit-focused launch</w:t>
      </w:r>
      <w:r>
        <w:rPr>
          <w:rFonts w:ascii="Arial" w:cs="Arial" w:eastAsia="Arial" w:hAnsi="Arial"/>
        </w:rPr>
        <w:t xml:space="preserve"> enabling deep relationships before expansion; and (4) a </w:t>
      </w:r>
      <w:r>
        <w:rPr>
          <w:rFonts w:ascii="Arial" w:cs="Arial" w:eastAsia="Arial" w:hAnsi="Arial"/>
          <w:b/>
          <w:bCs/>
        </w:rPr>
        <w:t xml:space="preserve">provider-first freemium model</w:t>
      </w:r>
      <w:r>
        <w:rPr>
          <w:rFonts w:ascii="Arial" w:cs="Arial" w:eastAsia="Arial" w:hAnsi="Arial"/>
        </w:rPr>
        <w:t xml:space="preserve"> (3 months commission-free) that minimises adoption risk for SME providers.</w:t>
      </w:r>
    </w:p>
    <w:p>
      <w:r>
        <w:br w:type="page"/>
      </w:r>
    </w:p>
    <w:p>
      <w:pPr>
        <w:pStyle w:val="Heading1"/>
        <w:pBdr>
          <w:bottom w:val="single" w:color="0D7377" w:sz="6" w:space="4"/>
        </w:pBdr>
        <w:spacing w:after="160" w:before="320"/>
      </w:pPr>
      <w:r>
        <w:rPr>
          <w:rFonts w:ascii="Arial" w:cs="Arial" w:eastAsia="Arial" w:hAnsi="Arial"/>
          <w:b/>
          <w:bCs/>
          <w:color w:val="1A3C5E"/>
          <w:sz w:val="32"/>
          <w:szCs w:val="32"/>
        </w:rPr>
        <w:t xml:space="preserve">5.  Market Sizing — TAM / SAM / SOM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2000"/>
        <w:gridCol w:w="3000"/>
        <w:gridCol w:w="4000"/>
      </w:tblGrid>
      <w:tr>
        <w:tc>
          <w:tcPr>
            <w:tcW w:type="dxa" w:w="108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
            </w:r>
          </w:p>
        </w:tc>
        <w:tc>
          <w:tcPr>
            <w:tcW w:type="dxa" w:w="20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Level</w:t>
            </w:r>
          </w:p>
        </w:tc>
        <w:tc>
          <w:tcPr>
            <w:tcW w:type="dxa" w:w="30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Definition &amp; Calculation</w:t>
            </w:r>
          </w:p>
        </w:tc>
        <w:tc>
          <w:tcPr>
            <w:tcW w:type="dxa" w:w="40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Estimate (2024)</w:t>
            </w:r>
          </w:p>
        </w:tc>
      </w:tr>
      <w:tr>
        <w:tc>
          <w:tcPr>
            <w:tcW w:type="dxa" w:w="1080"/>
            <w:tcBorders>
              <w:top w:val="single" w:color="E2E8F0" w:sz="4"/>
              <w:left w:val="single" w:color="E2E8F0" w:sz="4"/>
              <w:bottom w:val="single" w:color="E2E8F0" w:sz="4"/>
              <w:right w:val="single" w:color="E2E8F0"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TAM</w:t>
            </w:r>
          </w:p>
        </w:tc>
        <w:tc>
          <w:tcPr>
            <w:tcW w:type="dxa" w:w="20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b/>
                <w:bCs/>
                <w:color w:val="1E293B"/>
                <w:sz w:val="20"/>
                <w:szCs w:val="20"/>
              </w:rPr>
              <w:t xml:space="preserve">Total Addressable Market</w:t>
            </w:r>
          </w:p>
        </w:tc>
        <w:tc>
          <w:tcPr>
            <w:tcW w:type="dxa" w:w="30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40" w:before="40"/>
            </w:pPr>
            <w:r>
              <w:rPr>
                <w:rFonts w:ascii="Arial" w:cs="Arial" w:eastAsia="Arial" w:hAnsi="Arial"/>
              </w:rPr>
              <w:t xml:space="preserve">Thailand total pet services market (grooming, boarding, vet services, training, day care).</w:t>
            </w:r>
          </w:p>
          <w:p>
            <w:pPr>
              <w:spacing w:after="40" w:before="0"/>
            </w:pPr>
            <w:r>
              <w:rPr>
                <w:rFonts w:ascii="Arial" w:cs="Arial" w:eastAsia="Arial" w:hAnsi="Arial"/>
              </w:rPr>
              <w:t xml:space="preserve">Source: Grand View Research</w:t>
            </w:r>
            <w:r>
              <w:rPr>
                <w:rStyle w:val="FootnoteReference"/>
              </w:rPr>
              <w:footnoteReference w:id="6"/>
            </w:r>
            <w:r>
              <w:rPr>
                <w:rFonts w:ascii="Arial" w:cs="Arial" w:eastAsia="Arial" w:hAnsi="Arial"/>
              </w:rPr>
              <w:t xml:space="preserve"> + ttb analytics segment data</w:t>
            </w:r>
            <w:r>
              <w:rPr>
                <w:rStyle w:val="FootnoteReference"/>
              </w:rPr>
              <w:footnoteReference w:id="1"/>
            </w:r>
          </w:p>
        </w:tc>
        <w:tc>
          <w:tcPr>
            <w:tcW w:type="dxa" w:w="4000"/>
            <w:tcBorders>
              <w:top w:val="single" w:color="E2E8F0" w:sz="4"/>
              <w:left w:val="single" w:color="E2E8F0" w:sz="4"/>
              <w:bottom w:val="single" w:color="E2E8F0" w:sz="4"/>
              <w:right w:val="single" w:color="E2E8F0" w:sz="4"/>
            </w:tcBorders>
            <w:shd w:fill="E8F0F7" w:val="clear"/>
            <w:tcMar>
              <w:top w:type="dxa" w:w="100"/>
              <w:left w:type="dxa" w:w="140"/>
              <w:bottom w:type="dxa" w:w="100"/>
              <w:right w:type="dxa" w:w="140"/>
            </w:tcMar>
            <w:vAlign w:val="top"/>
          </w:tcPr>
          <w:p>
            <w:pPr>
              <w:spacing w:after="8" w:before="40"/>
              <w:jc w:val="center"/>
            </w:pPr>
            <w:r>
              <w:rPr>
                <w:rFonts w:ascii="Arial" w:cs="Arial" w:eastAsia="Arial" w:hAnsi="Arial"/>
                <w:b/>
                <w:bCs/>
                <w:color w:val="1A3C5E"/>
                <w:sz w:val="24"/>
                <w:szCs w:val="24"/>
              </w:rPr>
              <w:t xml:space="preserve">USD 80 million</w:t>
            </w:r>
          </w:p>
          <w:p>
            <w:pPr>
              <w:jc w:val="center"/>
            </w:pPr>
            <w:r>
              <w:rPr>
                <w:rFonts w:ascii="Arial" w:cs="Arial" w:eastAsia="Arial" w:hAnsi="Arial"/>
                <w:color w:val="64748B"/>
                <w:sz w:val="18"/>
                <w:szCs w:val="18"/>
              </w:rPr>
              <w:t xml:space="preserve">(฿2.88B at 2024 rate)</w:t>
            </w:r>
          </w:p>
          <w:p>
            <w:pPr>
              <w:spacing w:after="40" w:before="8"/>
              <w:jc w:val="center"/>
            </w:pPr>
            <w:r>
              <w:rPr>
                <w:rFonts w:ascii="Arial" w:cs="Arial" w:eastAsia="Arial" w:hAnsi="Arial"/>
                <w:color w:val="0D7377"/>
                <w:sz w:val="18"/>
                <w:szCs w:val="18"/>
              </w:rPr>
              <w:t xml:space="preserve">→ USD 166.8M by 2030</w:t>
            </w:r>
          </w:p>
        </w:tc>
      </w:tr>
      <w:tr>
        <w:tc>
          <w:tcPr>
            <w:tcW w:type="dxa" w:w="1080"/>
            <w:tcBorders>
              <w:top w:val="single" w:color="E2E8F0" w:sz="4"/>
              <w:left w:val="single" w:color="E2E8F0" w:sz="4"/>
              <w:bottom w:val="single" w:color="E2E8F0" w:sz="4"/>
              <w:right w:val="single" w:color="E2E8F0" w:sz="4"/>
            </w:tcBorders>
            <w:shd w:fill="0D7377"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SAM</w:t>
            </w:r>
          </w:p>
        </w:tc>
        <w:tc>
          <w:tcPr>
            <w:tcW w:type="dxa" w:w="20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b/>
                <w:bCs/>
                <w:color w:val="1E293B"/>
                <w:sz w:val="20"/>
                <w:szCs w:val="20"/>
              </w:rPr>
              <w:t xml:space="preserve">Serviceable Addressable Market</w:t>
            </w:r>
          </w:p>
        </w:tc>
        <w:tc>
          <w:tcPr>
            <w:tcW w:type="dxa" w:w="30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40" w:before="40"/>
            </w:pPr>
            <w:r>
              <w:rPr>
                <w:rFonts w:ascii="Arial" w:cs="Arial" w:eastAsia="Arial" w:hAnsi="Arial"/>
              </w:rPr>
              <w:t xml:space="preserve">Bangkok-based pet grooming &amp; related services (excl. vet and specialist care). Grooming is Pawtal's primary launch service type.</w:t>
            </w:r>
          </w:p>
          <w:p>
            <w:pPr>
              <w:spacing w:after="40" w:before="0"/>
            </w:pPr>
            <w:r>
              <w:rPr>
                <w:rFonts w:ascii="Arial" w:cs="Arial" w:eastAsia="Arial" w:hAnsi="Arial"/>
              </w:rPr>
              <w:t xml:space="preserve">Estimated 35–40% of Thailand pet services TAM is Bangkok-based. Source: Grand View Research</w:t>
            </w:r>
            <w:r>
              <w:rPr>
                <w:rStyle w:val="FootnoteReference"/>
              </w:rPr>
              <w:footnoteReference w:id="7"/>
            </w:r>
          </w:p>
        </w:tc>
        <w:tc>
          <w:tcPr>
            <w:tcW w:type="dxa" w:w="4000"/>
            <w:tcBorders>
              <w:top w:val="single" w:color="E2E8F0" w:sz="4"/>
              <w:left w:val="single" w:color="E2E8F0" w:sz="4"/>
              <w:bottom w:val="single" w:color="E2E8F0" w:sz="4"/>
              <w:right w:val="single" w:color="E2E8F0" w:sz="4"/>
            </w:tcBorders>
            <w:shd w:fill="CCFBF1" w:val="clear"/>
            <w:tcMar>
              <w:top w:type="dxa" w:w="100"/>
              <w:left w:type="dxa" w:w="140"/>
              <w:bottom w:type="dxa" w:w="100"/>
              <w:right w:type="dxa" w:w="140"/>
            </w:tcMar>
            <w:vAlign w:val="top"/>
          </w:tcPr>
          <w:p>
            <w:pPr>
              <w:spacing w:after="8" w:before="40"/>
              <w:jc w:val="center"/>
            </w:pPr>
            <w:r>
              <w:rPr>
                <w:rFonts w:ascii="Arial" w:cs="Arial" w:eastAsia="Arial" w:hAnsi="Arial"/>
                <w:b/>
                <w:bCs/>
                <w:color w:val="0D7377"/>
                <w:sz w:val="24"/>
                <w:szCs w:val="24"/>
              </w:rPr>
              <w:t xml:space="preserve">USD 25–28 million</w:t>
            </w:r>
          </w:p>
          <w:p>
            <w:pPr>
              <w:jc w:val="center"/>
            </w:pPr>
            <w:r>
              <w:rPr>
                <w:rFonts w:ascii="Arial" w:cs="Arial" w:eastAsia="Arial" w:hAnsi="Arial"/>
                <w:color w:val="64748B"/>
                <w:sz w:val="18"/>
                <w:szCs w:val="18"/>
              </w:rPr>
              <w:t xml:space="preserve">(฿900M–฿1B est.)</w:t>
            </w:r>
          </w:p>
          <w:p>
            <w:pPr>
              <w:spacing w:after="40" w:before="8"/>
              <w:jc w:val="center"/>
            </w:pPr>
            <w:r>
              <w:rPr>
                <w:rFonts w:ascii="Arial" w:cs="Arial" w:eastAsia="Arial" w:hAnsi="Arial"/>
                <w:color w:val="64748B"/>
                <w:sz w:val="18"/>
                <w:szCs w:val="18"/>
              </w:rPr>
              <w:t xml:space="preserve">Bangkok pet grooming alone</w:t>
            </w:r>
          </w:p>
        </w:tc>
      </w:tr>
      <w:tr>
        <w:tc>
          <w:tcPr>
            <w:tcW w:type="dxa" w:w="1080"/>
            <w:tcBorders>
              <w:top w:val="single" w:color="E2E8F0" w:sz="4"/>
              <w:left w:val="single" w:color="E2E8F0" w:sz="4"/>
              <w:bottom w:val="single" w:color="E2E8F0" w:sz="4"/>
              <w:right w:val="single" w:color="E2E8F0" w:sz="4"/>
            </w:tcBorders>
            <w:shd w:fill="16A34A"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SOM</w:t>
            </w:r>
          </w:p>
        </w:tc>
        <w:tc>
          <w:tcPr>
            <w:tcW w:type="dxa" w:w="20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b/>
                <w:bCs/>
                <w:color w:val="1E293B"/>
                <w:sz w:val="20"/>
                <w:szCs w:val="20"/>
              </w:rPr>
              <w:t xml:space="preserve">Serviceable Obtainable Market</w:t>
            </w:r>
          </w:p>
        </w:tc>
        <w:tc>
          <w:tcPr>
            <w:tcW w:type="dxa" w:w="30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40" w:before="40"/>
            </w:pPr>
            <w:r>
              <w:rPr>
                <w:rFonts w:ascii="Arial" w:cs="Arial" w:eastAsia="Arial" w:hAnsi="Arial"/>
              </w:rPr>
              <w:t xml:space="preserve">Sukhumvit corridor pet grooming market (Year 1 target zone). Estimated 20–25% of Bangkok SAM based on Sukhumvit's premium density and pet owner concentration.</w:t>
            </w:r>
          </w:p>
          <w:p>
            <w:pPr>
              <w:spacing w:after="40" w:before="0"/>
            </w:pPr>
            <w:r>
              <w:rPr>
                <w:rFonts w:ascii="Arial" w:cs="Arial" w:eastAsia="Arial" w:hAnsi="Arial"/>
              </w:rPr>
              <w:t xml:space="preserve">Year 1 target: 50+ active provider partners, 500+ customer transactions.</w:t>
            </w:r>
          </w:p>
        </w:tc>
        <w:tc>
          <w:tcPr>
            <w:tcW w:type="dxa" w:w="4000"/>
            <w:tcBorders>
              <w:top w:val="single" w:color="E2E8F0" w:sz="4"/>
              <w:left w:val="single" w:color="E2E8F0" w:sz="4"/>
              <w:bottom w:val="single" w:color="E2E8F0" w:sz="4"/>
              <w:right w:val="single" w:color="E2E8F0" w:sz="4"/>
            </w:tcBorders>
            <w:shd w:fill="DCFCE7" w:val="clear"/>
            <w:tcMar>
              <w:top w:type="dxa" w:w="100"/>
              <w:left w:type="dxa" w:w="140"/>
              <w:bottom w:type="dxa" w:w="100"/>
              <w:right w:type="dxa" w:w="140"/>
            </w:tcMar>
            <w:vAlign w:val="top"/>
          </w:tcPr>
          <w:p>
            <w:pPr>
              <w:spacing w:after="8" w:before="40"/>
              <w:jc w:val="center"/>
            </w:pPr>
            <w:r>
              <w:rPr>
                <w:rFonts w:ascii="Arial" w:cs="Arial" w:eastAsia="Arial" w:hAnsi="Arial"/>
                <w:b/>
                <w:bCs/>
                <w:color w:val="16A34A"/>
                <w:sz w:val="24"/>
                <w:szCs w:val="24"/>
              </w:rPr>
              <w:t xml:space="preserve">USD 5–7 million</w:t>
            </w:r>
          </w:p>
          <w:p>
            <w:pPr>
              <w:jc w:val="center"/>
            </w:pPr>
            <w:r>
              <w:rPr>
                <w:rFonts w:ascii="Arial" w:cs="Arial" w:eastAsia="Arial" w:hAnsi="Arial"/>
                <w:color w:val="64748B"/>
                <w:sz w:val="18"/>
                <w:szCs w:val="18"/>
              </w:rPr>
              <w:t xml:space="preserve">(฿180M–฿250M est.)</w:t>
            </w:r>
          </w:p>
          <w:p>
            <w:pPr>
              <w:spacing w:after="40" w:before="8"/>
              <w:jc w:val="center"/>
            </w:pPr>
            <w:r>
              <w:rPr>
                <w:rFonts w:ascii="Arial" w:cs="Arial" w:eastAsia="Arial" w:hAnsi="Arial"/>
                <w:color w:val="64748B"/>
                <w:sz w:val="18"/>
                <w:szCs w:val="18"/>
              </w:rPr>
              <w:t xml:space="preserve">Sukhumvit zone, Year 1</w:t>
            </w:r>
          </w:p>
        </w:tc>
      </w:tr>
    </w:tbl>
    <w:p>
      <w:pPr>
        <w:spacing w:after="80" w:before="0"/>
      </w:pPr>
      <w:r>
        <w:rPr>
          <w:rFonts w:ascii="Arial" w:cs="Arial" w:eastAsia="Arial" w:hAnsi="Arial"/>
        </w:rPr>
        <w:t xml:space="preserve"/>
      </w:r>
    </w:p>
    <w:p>
      <w:pPr>
        <w:spacing w:after="120" w:before="60"/>
      </w:pPr>
      <w:r>
        <w:rPr>
          <w:rFonts w:ascii="Arial" w:cs="Arial" w:eastAsia="Arial" w:hAnsi="Arial"/>
          <w:b/>
          <w:bCs/>
          <w:color w:val="64748B"/>
          <w:sz w:val="18"/>
          <w:szCs w:val="18"/>
        </w:rPr>
        <w:t xml:space="preserve">Note: </w:t>
      </w:r>
      <w:r>
        <w:rPr>
          <w:rFonts w:ascii="Arial" w:cs="Arial" w:eastAsia="Arial" w:hAnsi="Arial"/>
          <w:color w:val="64748B"/>
          <w:sz w:val="18"/>
          <w:szCs w:val="18"/>
        </w:rPr>
        <w:t xml:space="preserve">TAM/SAM/SOM figures are estimates based on available third-party market research and Pawtal's internal assumptions. USD/THB conversion at ฿36 = USD 1 (2024 approximate rate). These figures should be stress-tested against actual booking data post-launch.</w:t>
      </w:r>
    </w:p>
    <w:p>
      <w:r>
        <w:br w:type="page"/>
      </w:r>
    </w:p>
    <w:p>
      <w:pPr>
        <w:pStyle w:val="Heading1"/>
        <w:pBdr>
          <w:bottom w:val="single" w:color="0D7377" w:sz="6" w:space="4"/>
        </w:pBdr>
        <w:spacing w:after="160" w:before="320"/>
      </w:pPr>
      <w:r>
        <w:rPr>
          <w:rFonts w:ascii="Arial" w:cs="Arial" w:eastAsia="Arial" w:hAnsi="Arial"/>
          <w:b/>
          <w:bCs/>
          <w:color w:val="1A3C5E"/>
          <w:sz w:val="32"/>
          <w:szCs w:val="32"/>
        </w:rPr>
        <w:t xml:space="preserve">6.  Market Entry &amp; Go-to-Market Strategy</w:t>
      </w:r>
    </w:p>
    <w:p>
      <w:pPr>
        <w:pStyle w:val="Heading2"/>
        <w:spacing w:after="120" w:before="240"/>
      </w:pPr>
      <w:r>
        <w:rPr>
          <w:rFonts w:ascii="Arial" w:cs="Arial" w:eastAsia="Arial" w:hAnsi="Arial"/>
          <w:b/>
          <w:bCs/>
          <w:color w:val="0D7377"/>
          <w:sz w:val="26"/>
          <w:szCs w:val="26"/>
        </w:rPr>
        <w:t xml:space="preserve">6.1  MVP#1 Strategy (Provider Acquisition)</w:t>
      </w:r>
    </w:p>
    <w:p>
      <w:pPr>
        <w:spacing w:after="120" w:before="60"/>
      </w:pPr>
      <w:r>
        <w:rPr>
          <w:rFonts w:ascii="Arial" w:cs="Arial" w:eastAsia="Arial" w:hAnsi="Arial"/>
        </w:rPr>
        <w:t xml:space="preserve">The MVP#1 strategy is explicitly B2B-first: acquire and onboard a critical mass of pet service providers before launching the customer-facing marketplace. This "supply-first" approach prevents the empty marketplace problem and ensures a quality experience for customers from Day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c>
          <w:tcPr>
            <w:tcW w:type="dxa" w:w="20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Channel</w:t>
            </w:r>
          </w:p>
        </w:tc>
        <w:tc>
          <w:tcPr>
            <w:tcW w:type="dxa" w:w="40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Tactic</w:t>
            </w:r>
          </w:p>
        </w:tc>
        <w:tc>
          <w:tcPr>
            <w:tcW w:type="dxa" w:w="408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Rationale</w:t>
            </w:r>
          </w:p>
        </w:tc>
      </w:tr>
      <w:tr>
        <w:tc>
          <w:tcPr>
            <w:tcW w:type="dxa" w:w="2000"/>
            <w:tcBorders>
              <w:top w:val="single" w:color="E2E8F0" w:sz="4"/>
              <w:left w:val="single" w:color="E2E8F0" w:sz="4"/>
              <w:bottom w:val="single" w:color="E2E8F0" w:sz="4"/>
              <w:right w:val="single" w:color="E2E8F0" w:sz="4"/>
            </w:tcBorders>
            <w:shd w:fill="E8F0F7" w:val="clear"/>
            <w:tcMar>
              <w:top w:type="dxa" w:w="100"/>
              <w:left w:type="dxa" w:w="140"/>
              <w:bottom w:type="dxa" w:w="100"/>
              <w:right w:type="dxa" w:w="140"/>
            </w:tcMar>
            <w:vAlign w:val="top"/>
          </w:tcPr>
          <w:p>
            <w:pPr>
              <w:jc w:val="left"/>
            </w:pPr>
            <w:r>
              <w:rPr>
                <w:rFonts w:ascii="Arial" w:cs="Arial" w:eastAsia="Arial" w:hAnsi="Arial"/>
                <w:b/>
                <w:bCs/>
                <w:color w:val="1E293B"/>
                <w:sz w:val="20"/>
                <w:szCs w:val="20"/>
              </w:rPr>
              <w:t xml:space="preserve">LINE OA</w:t>
            </w:r>
          </w:p>
        </w:tc>
        <w:tc>
          <w:tcPr>
            <w:tcW w:type="dxa" w:w="40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Pawtal LINE OA with Rich Menu; LIFF-powered registration form inside LINE</w:t>
            </w:r>
          </w:p>
        </w:tc>
        <w:tc>
          <w:tcPr>
            <w:tcW w:type="dxa" w:w="408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Meets providers where they operate; reduces friction; LINE is primary business comms tool for Thai SMEs¹³</w:t>
            </w:r>
          </w:p>
        </w:tc>
      </w:tr>
      <w:tr>
        <w:tc>
          <w:tcPr>
            <w:tcW w:type="dxa" w:w="2000"/>
            <w:tcBorders>
              <w:top w:val="single" w:color="E2E8F0" w:sz="4"/>
              <w:left w:val="single" w:color="E2E8F0" w:sz="4"/>
              <w:bottom w:val="single" w:color="E2E8F0" w:sz="4"/>
              <w:right w:val="single" w:color="E2E8F0" w:sz="4"/>
            </w:tcBorders>
            <w:shd w:fill="E8F0F7" w:val="clear"/>
            <w:tcMar>
              <w:top w:type="dxa" w:w="100"/>
              <w:left w:type="dxa" w:w="140"/>
              <w:bottom w:type="dxa" w:w="100"/>
              <w:right w:type="dxa" w:w="140"/>
            </w:tcMar>
            <w:vAlign w:val="top"/>
          </w:tcPr>
          <w:p>
            <w:pPr>
              <w:jc w:val="left"/>
            </w:pPr>
            <w:r>
              <w:rPr>
                <w:rFonts w:ascii="Arial" w:cs="Arial" w:eastAsia="Arial" w:hAnsi="Arial"/>
                <w:b/>
                <w:bCs/>
                <w:color w:val="1E293B"/>
                <w:sz w:val="20"/>
                <w:szCs w:val="20"/>
              </w:rPr>
              <w:t xml:space="preserve">Direct Outreach</w:t>
            </w:r>
          </w:p>
        </w:tc>
        <w:tc>
          <w:tcPr>
            <w:tcW w:type="dxa" w:w="40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Business Dev team canvasses Sukhumvit grooming salons in person and via phone</w:t>
            </w:r>
          </w:p>
        </w:tc>
        <w:tc>
          <w:tcPr>
            <w:tcW w:type="dxa" w:w="408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High conversion rate; builds trust; essential for a new platform with no social proof</w:t>
            </w:r>
          </w:p>
        </w:tc>
      </w:tr>
      <w:tr>
        <w:tc>
          <w:tcPr>
            <w:tcW w:type="dxa" w:w="2000"/>
            <w:tcBorders>
              <w:top w:val="single" w:color="E2E8F0" w:sz="4"/>
              <w:left w:val="single" w:color="E2E8F0" w:sz="4"/>
              <w:bottom w:val="single" w:color="E2E8F0" w:sz="4"/>
              <w:right w:val="single" w:color="E2E8F0" w:sz="4"/>
            </w:tcBorders>
            <w:shd w:fill="E8F0F7" w:val="clear"/>
            <w:tcMar>
              <w:top w:type="dxa" w:w="100"/>
              <w:left w:type="dxa" w:w="140"/>
              <w:bottom w:type="dxa" w:w="100"/>
              <w:right w:type="dxa" w:w="140"/>
            </w:tcMar>
            <w:vAlign w:val="top"/>
          </w:tcPr>
          <w:p>
            <w:pPr>
              <w:jc w:val="left"/>
            </w:pPr>
            <w:r>
              <w:rPr>
                <w:rFonts w:ascii="Arial" w:cs="Arial" w:eastAsia="Arial" w:hAnsi="Arial"/>
                <w:b/>
                <w:bCs/>
                <w:color w:val="1E293B"/>
                <w:sz w:val="20"/>
                <w:szCs w:val="20"/>
              </w:rPr>
              <w:t xml:space="preserve">Digital (Facebook/IG)</w:t>
            </w:r>
          </w:p>
        </w:tc>
        <w:tc>
          <w:tcPr>
            <w:tcW w:type="dxa" w:w="40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Targeted social ads to pet business owners in Bangkok; Thai-language creative</w:t>
            </w:r>
          </w:p>
        </w:tc>
        <w:tc>
          <w:tcPr>
            <w:tcW w:type="dxa" w:w="408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Pet business owners are active on Facebook; cost-effective B2B lead channel in Thailand</w:t>
            </w:r>
          </w:p>
        </w:tc>
      </w:tr>
      <w:tr>
        <w:tc>
          <w:tcPr>
            <w:tcW w:type="dxa" w:w="2000"/>
            <w:tcBorders>
              <w:top w:val="single" w:color="E2E8F0" w:sz="4"/>
              <w:left w:val="single" w:color="E2E8F0" w:sz="4"/>
              <w:bottom w:val="single" w:color="E2E8F0" w:sz="4"/>
              <w:right w:val="single" w:color="E2E8F0" w:sz="4"/>
            </w:tcBorders>
            <w:shd w:fill="E8F0F7" w:val="clear"/>
            <w:tcMar>
              <w:top w:type="dxa" w:w="100"/>
              <w:left w:type="dxa" w:w="140"/>
              <w:bottom w:type="dxa" w:w="100"/>
              <w:right w:type="dxa" w:w="140"/>
            </w:tcMar>
            <w:vAlign w:val="top"/>
          </w:tcPr>
          <w:p>
            <w:pPr>
              <w:jc w:val="left"/>
            </w:pPr>
            <w:r>
              <w:rPr>
                <w:rFonts w:ascii="Arial" w:cs="Arial" w:eastAsia="Arial" w:hAnsi="Arial"/>
                <w:b/>
                <w:bCs/>
                <w:color w:val="1E293B"/>
                <w:sz w:val="20"/>
                <w:szCs w:val="20"/>
              </w:rPr>
              <w:t xml:space="preserve">Referral</w:t>
            </w:r>
          </w:p>
        </w:tc>
        <w:tc>
          <w:tcPr>
            <w:tcW w:type="dxa" w:w="40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Provider referral incentive: first referred provider gets 1 additional free month</w:t>
            </w:r>
          </w:p>
        </w:tc>
        <w:tc>
          <w:tcPr>
            <w:tcW w:type="dxa" w:w="408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Viral acquisition in a tight-knit grooming community; low CAC for referral cohort</w:t>
            </w:r>
          </w:p>
        </w:tc>
      </w:tr>
      <w:tr>
        <w:tc>
          <w:tcPr>
            <w:tcW w:type="dxa" w:w="2000"/>
            <w:tcBorders>
              <w:top w:val="single" w:color="E2E8F0" w:sz="4"/>
              <w:left w:val="single" w:color="E2E8F0" w:sz="4"/>
              <w:bottom w:val="single" w:color="E2E8F0" w:sz="4"/>
              <w:right w:val="single" w:color="E2E8F0" w:sz="4"/>
            </w:tcBorders>
            <w:shd w:fill="E8F0F7" w:val="clear"/>
            <w:tcMar>
              <w:top w:type="dxa" w:w="100"/>
              <w:left w:type="dxa" w:w="140"/>
              <w:bottom w:type="dxa" w:w="100"/>
              <w:right w:type="dxa" w:w="140"/>
            </w:tcMar>
            <w:vAlign w:val="top"/>
          </w:tcPr>
          <w:p>
            <w:pPr>
              <w:jc w:val="left"/>
            </w:pPr>
            <w:r>
              <w:rPr>
                <w:rFonts w:ascii="Arial" w:cs="Arial" w:eastAsia="Arial" w:hAnsi="Arial"/>
                <w:b/>
                <w:bCs/>
                <w:color w:val="1E293B"/>
                <w:sz w:val="20"/>
                <w:szCs w:val="20"/>
              </w:rPr>
              <w:t xml:space="preserve">Pet Industry Events</w:t>
            </w:r>
          </w:p>
        </w:tc>
        <w:tc>
          <w:tcPr>
            <w:tcW w:type="dxa" w:w="40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Booth at Pet Fair SEA and Bangkok pet industry meetups</w:t>
            </w:r>
          </w:p>
        </w:tc>
        <w:tc>
          <w:tcPr>
            <w:tcW w:type="dxa" w:w="408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High-quality lead generation; builds brand credibility in the trade community</w:t>
            </w:r>
          </w:p>
        </w:tc>
      </w:tr>
    </w:tbl>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0D7377"/>
          <w:sz w:val="26"/>
          <w:szCs w:val="26"/>
        </w:rPr>
        <w:t xml:space="preserve">6.2  Key Performance Indicators (MVP#1)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2360"/>
        <w:gridCol w:w="2360"/>
        <w:gridCol w:w="2000"/>
      </w:tblGrid>
      <w:tr>
        <w:tc>
          <w:tcPr>
            <w:tcW w:type="dxa" w:w="336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KPI</w:t>
            </w:r>
          </w:p>
        </w:tc>
        <w:tc>
          <w:tcPr>
            <w:tcW w:type="dxa" w:w="236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Target (Sprint 1)</w:t>
            </w:r>
          </w:p>
        </w:tc>
        <w:tc>
          <w:tcPr>
            <w:tcW w:type="dxa" w:w="236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Target (Sprint 2)</w:t>
            </w:r>
          </w:p>
        </w:tc>
        <w:tc>
          <w:tcPr>
            <w:tcW w:type="dxa" w:w="20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Measurement</w:t>
            </w:r>
          </w:p>
        </w:tc>
      </w:tr>
      <w:tr>
        <w:tc>
          <w:tcPr>
            <w:tcW w:type="dxa" w:w="3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Provider leads (form submissions)</w:t>
            </w:r>
          </w:p>
        </w:tc>
        <w:tc>
          <w:tcPr>
            <w:tcW w:type="dxa" w:w="2360"/>
            <w:tcBorders>
              <w:top w:val="single" w:color="E2E8F0" w:sz="4"/>
              <w:left w:val="single" w:color="E2E8F0" w:sz="4"/>
              <w:bottom w:val="single" w:color="E2E8F0" w:sz="4"/>
              <w:right w:val="single" w:color="E2E8F0" w:sz="4"/>
            </w:tcBorders>
            <w:shd w:fill="FEF3C7" w:val="clear"/>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25+</w:t>
            </w:r>
          </w:p>
        </w:tc>
        <w:tc>
          <w:tcPr>
            <w:tcW w:type="dxa" w:w="2360"/>
            <w:tcBorders>
              <w:top w:val="single" w:color="E2E8F0" w:sz="4"/>
              <w:left w:val="single" w:color="E2E8F0" w:sz="4"/>
              <w:bottom w:val="single" w:color="E2E8F0" w:sz="4"/>
              <w:right w:val="single" w:color="E2E8F0" w:sz="4"/>
            </w:tcBorders>
            <w:shd w:fill="DCFCE7" w:val="clear"/>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50+</w:t>
            </w:r>
          </w:p>
        </w:tc>
        <w:tc>
          <w:tcPr>
            <w:tcW w:type="dxa" w:w="20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CRM / DB count</w:t>
            </w:r>
          </w:p>
        </w:tc>
      </w:tr>
      <w:tr>
        <w:tc>
          <w:tcPr>
            <w:tcW w:type="dxa" w:w="3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Form completion rate (started → submitted)</w:t>
            </w:r>
          </w:p>
        </w:tc>
        <w:tc>
          <w:tcPr>
            <w:tcW w:type="dxa" w:w="2360"/>
            <w:tcBorders>
              <w:top w:val="single" w:color="E2E8F0" w:sz="4"/>
              <w:left w:val="single" w:color="E2E8F0" w:sz="4"/>
              <w:bottom w:val="single" w:color="E2E8F0" w:sz="4"/>
              <w:right w:val="single" w:color="E2E8F0" w:sz="4"/>
            </w:tcBorders>
            <w:shd w:fill="FEF3C7" w:val="clear"/>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&gt;40%</w:t>
            </w:r>
          </w:p>
        </w:tc>
        <w:tc>
          <w:tcPr>
            <w:tcW w:type="dxa" w:w="2360"/>
            <w:tcBorders>
              <w:top w:val="single" w:color="E2E8F0" w:sz="4"/>
              <w:left w:val="single" w:color="E2E8F0" w:sz="4"/>
              <w:bottom w:val="single" w:color="E2E8F0" w:sz="4"/>
              <w:right w:val="single" w:color="E2E8F0" w:sz="4"/>
            </w:tcBorders>
            <w:shd w:fill="DCFCE7" w:val="clear"/>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&gt;50%</w:t>
            </w:r>
          </w:p>
        </w:tc>
        <w:tc>
          <w:tcPr>
            <w:tcW w:type="dxa" w:w="20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GA4 funnel analysis</w:t>
            </w:r>
          </w:p>
        </w:tc>
      </w:tr>
      <w:tr>
        <w:tc>
          <w:tcPr>
            <w:tcW w:type="dxa" w:w="3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Lead-to-callback rate</w:t>
            </w:r>
          </w:p>
        </w:tc>
        <w:tc>
          <w:tcPr>
            <w:tcW w:type="dxa" w:w="2360"/>
            <w:tcBorders>
              <w:top w:val="single" w:color="E2E8F0" w:sz="4"/>
              <w:left w:val="single" w:color="E2E8F0" w:sz="4"/>
              <w:bottom w:val="single" w:color="E2E8F0" w:sz="4"/>
              <w:right w:val="single" w:color="E2E8F0" w:sz="4"/>
            </w:tcBorders>
            <w:shd w:fill="FEF3C7" w:val="clear"/>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&gt;60%</w:t>
            </w:r>
          </w:p>
        </w:tc>
        <w:tc>
          <w:tcPr>
            <w:tcW w:type="dxa" w:w="2360"/>
            <w:tcBorders>
              <w:top w:val="single" w:color="E2E8F0" w:sz="4"/>
              <w:left w:val="single" w:color="E2E8F0" w:sz="4"/>
              <w:bottom w:val="single" w:color="E2E8F0" w:sz="4"/>
              <w:right w:val="single" w:color="E2E8F0" w:sz="4"/>
            </w:tcBorders>
            <w:shd w:fill="DCFCE7" w:val="clear"/>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&gt;70%</w:t>
            </w:r>
          </w:p>
        </w:tc>
        <w:tc>
          <w:tcPr>
            <w:tcW w:type="dxa" w:w="20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CRM call log</w:t>
            </w:r>
          </w:p>
        </w:tc>
      </w:tr>
      <w:tr>
        <w:tc>
          <w:tcPr>
            <w:tcW w:type="dxa" w:w="3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Callback-to-onboarding conversion</w:t>
            </w:r>
          </w:p>
        </w:tc>
        <w:tc>
          <w:tcPr>
            <w:tcW w:type="dxa" w:w="2360"/>
            <w:tcBorders>
              <w:top w:val="single" w:color="E2E8F0" w:sz="4"/>
              <w:left w:val="single" w:color="E2E8F0" w:sz="4"/>
              <w:bottom w:val="single" w:color="E2E8F0" w:sz="4"/>
              <w:right w:val="single" w:color="E2E8F0" w:sz="4"/>
            </w:tcBorders>
            <w:shd w:fill="FEF3C7" w:val="clear"/>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w:t>
            </w:r>
          </w:p>
        </w:tc>
        <w:tc>
          <w:tcPr>
            <w:tcW w:type="dxa" w:w="2360"/>
            <w:tcBorders>
              <w:top w:val="single" w:color="E2E8F0" w:sz="4"/>
              <w:left w:val="single" w:color="E2E8F0" w:sz="4"/>
              <w:bottom w:val="single" w:color="E2E8F0" w:sz="4"/>
              <w:right w:val="single" w:color="E2E8F0" w:sz="4"/>
            </w:tcBorders>
            <w:shd w:fill="DCFCE7" w:val="clear"/>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&gt;30%</w:t>
            </w:r>
          </w:p>
        </w:tc>
        <w:tc>
          <w:tcPr>
            <w:tcW w:type="dxa" w:w="20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CRM status field</w:t>
            </w:r>
          </w:p>
        </w:tc>
      </w:tr>
      <w:tr>
        <w:tc>
          <w:tcPr>
            <w:tcW w:type="dxa" w:w="3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Landing page bounce rate</w:t>
            </w:r>
          </w:p>
        </w:tc>
        <w:tc>
          <w:tcPr>
            <w:tcW w:type="dxa" w:w="2360"/>
            <w:tcBorders>
              <w:top w:val="single" w:color="E2E8F0" w:sz="4"/>
              <w:left w:val="single" w:color="E2E8F0" w:sz="4"/>
              <w:bottom w:val="single" w:color="E2E8F0" w:sz="4"/>
              <w:right w:val="single" w:color="E2E8F0" w:sz="4"/>
            </w:tcBorders>
            <w:shd w:fill="FEF3C7" w:val="clear"/>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&lt;55%</w:t>
            </w:r>
          </w:p>
        </w:tc>
        <w:tc>
          <w:tcPr>
            <w:tcW w:type="dxa" w:w="2360"/>
            <w:tcBorders>
              <w:top w:val="single" w:color="E2E8F0" w:sz="4"/>
              <w:left w:val="single" w:color="E2E8F0" w:sz="4"/>
              <w:bottom w:val="single" w:color="E2E8F0" w:sz="4"/>
              <w:right w:val="single" w:color="E2E8F0" w:sz="4"/>
            </w:tcBorders>
            <w:shd w:fill="DCFCE7" w:val="clear"/>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&lt;45%</w:t>
            </w:r>
          </w:p>
        </w:tc>
        <w:tc>
          <w:tcPr>
            <w:tcW w:type="dxa" w:w="20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GA4 engagement metrics</w:t>
            </w:r>
          </w:p>
        </w:tc>
      </w:tr>
      <w:tr>
        <w:tc>
          <w:tcPr>
            <w:tcW w:type="dxa" w:w="3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color w:val="1E293B"/>
                <w:sz w:val="20"/>
                <w:szCs w:val="20"/>
              </w:rPr>
              <w:t xml:space="preserve">Average time on registration form</w:t>
            </w:r>
          </w:p>
        </w:tc>
        <w:tc>
          <w:tcPr>
            <w:tcW w:type="dxa" w:w="2360"/>
            <w:tcBorders>
              <w:top w:val="single" w:color="E2E8F0" w:sz="4"/>
              <w:left w:val="single" w:color="E2E8F0" w:sz="4"/>
              <w:bottom w:val="single" w:color="E2E8F0" w:sz="4"/>
              <w:right w:val="single" w:color="E2E8F0" w:sz="4"/>
            </w:tcBorders>
            <w:shd w:fill="FEF3C7" w:val="clear"/>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&lt;4 minutes</w:t>
            </w:r>
          </w:p>
        </w:tc>
        <w:tc>
          <w:tcPr>
            <w:tcW w:type="dxa" w:w="2360"/>
            <w:tcBorders>
              <w:top w:val="single" w:color="E2E8F0" w:sz="4"/>
              <w:left w:val="single" w:color="E2E8F0" w:sz="4"/>
              <w:bottom w:val="single" w:color="E2E8F0" w:sz="4"/>
              <w:right w:val="single" w:color="E2E8F0" w:sz="4"/>
            </w:tcBorders>
            <w:shd w:fill="DCFCE7" w:val="clear"/>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&lt;3 minutes</w:t>
            </w:r>
          </w:p>
        </w:tc>
        <w:tc>
          <w:tcPr>
            <w:tcW w:type="dxa" w:w="20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GA4 session duration</w:t>
            </w:r>
          </w:p>
        </w:tc>
      </w:tr>
    </w:tbl>
    <w:p>
      <w:r>
        <w:br w:type="page"/>
      </w:r>
    </w:p>
    <w:p>
      <w:pPr>
        <w:pStyle w:val="Heading1"/>
        <w:pBdr>
          <w:bottom w:val="single" w:color="0D7377" w:sz="6" w:space="4"/>
        </w:pBdr>
        <w:spacing w:after="160" w:before="320"/>
      </w:pPr>
      <w:r>
        <w:rPr>
          <w:rFonts w:ascii="Arial" w:cs="Arial" w:eastAsia="Arial" w:hAnsi="Arial"/>
          <w:b/>
          <w:bCs/>
          <w:color w:val="1A3C5E"/>
          <w:sz w:val="32"/>
          <w:szCs w:val="32"/>
        </w:rPr>
        <w:t xml:space="preserve">7.  Key Risks &amp;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200"/>
        <w:gridCol w:w="5080"/>
      </w:tblGrid>
      <w:tr>
        <w:tc>
          <w:tcPr>
            <w:tcW w:type="dxa" w:w="12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w:t>
            </w:r>
          </w:p>
        </w:tc>
        <w:tc>
          <w:tcPr>
            <w:tcW w:type="dxa" w:w="26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Risk</w:t>
            </w:r>
          </w:p>
        </w:tc>
        <w:tc>
          <w:tcPr>
            <w:tcW w:type="dxa" w:w="12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Likelihood</w:t>
            </w:r>
          </w:p>
        </w:tc>
        <w:tc>
          <w:tcPr>
            <w:tcW w:type="dxa" w:w="508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Mitigation</w:t>
            </w:r>
          </w:p>
        </w:tc>
      </w:tr>
      <w:tr>
        <w:tc>
          <w:tcPr>
            <w:tcW w:type="dxa" w:w="1200"/>
            <w:tcBorders>
              <w:top w:val="single" w:color="E2E8F0" w:sz="4"/>
              <w:left w:val="single" w:color="E2E8F0" w:sz="4"/>
              <w:bottom w:val="single" w:color="E2E8F0" w:sz="4"/>
              <w:right w:val="single" w:color="E2E8F0" w:sz="4"/>
            </w:tcBorders>
            <w:shd w:fill="E8F0F7" w:val="clear"/>
            <w:tcMar>
              <w:top w:type="dxa" w:w="100"/>
              <w:left w:type="dxa" w:w="140"/>
              <w:bottom w:type="dxa" w:w="100"/>
              <w:right w:type="dxa" w:w="140"/>
            </w:tcMar>
            <w:vAlign w:val="top"/>
          </w:tcPr>
          <w:p>
            <w:pPr>
              <w:jc w:val="center"/>
            </w:pPr>
            <w:r>
              <w:rPr>
                <w:rFonts w:ascii="Arial" w:cs="Arial" w:eastAsia="Arial" w:hAnsi="Arial"/>
                <w:b/>
                <w:bCs/>
                <w:color w:val="1E293B"/>
                <w:sz w:val="20"/>
                <w:szCs w:val="20"/>
              </w:rPr>
              <w:t xml:space="preserve">R1</w:t>
            </w:r>
          </w:p>
        </w:tc>
        <w:tc>
          <w:tcPr>
            <w:tcW w:type="dxa" w:w="26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b/>
                <w:bCs/>
                <w:color w:val="1E293B"/>
                <w:sz w:val="20"/>
                <w:szCs w:val="20"/>
              </w:rPr>
              <w:t xml:space="preserve">Low provider adoption — SMEs resist digital platforms</w:t>
            </w:r>
          </w:p>
        </w:tc>
        <w:tc>
          <w:tcPr>
            <w:tcW w:type="dxa" w:w="1200"/>
            <w:tcBorders>
              <w:top w:val="single" w:color="E2E8F0" w:sz="4"/>
              <w:left w:val="single" w:color="E2E8F0" w:sz="4"/>
              <w:bottom w:val="single" w:color="E2E8F0" w:sz="4"/>
              <w:right w:val="single" w:color="E2E8F0" w:sz="4"/>
            </w:tcBorders>
            <w:shd w:fill="FEF3C7" w:val="clear"/>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Medium</w:t>
            </w:r>
          </w:p>
        </w:tc>
        <w:tc>
          <w:tcPr>
            <w:tcW w:type="dxa" w:w="508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3-month commission-free period; in-person onboarding support; simplify setup to &lt; 15 mins; Thai-language UI throughout</w:t>
            </w:r>
          </w:p>
        </w:tc>
      </w:tr>
      <w:tr>
        <w:tc>
          <w:tcPr>
            <w:tcW w:type="dxa" w:w="1200"/>
            <w:tcBorders>
              <w:top w:val="single" w:color="E2E8F0" w:sz="4"/>
              <w:left w:val="single" w:color="E2E8F0" w:sz="4"/>
              <w:bottom w:val="single" w:color="E2E8F0" w:sz="4"/>
              <w:right w:val="single" w:color="E2E8F0" w:sz="4"/>
            </w:tcBorders>
            <w:shd w:fill="E8F0F7" w:val="clear"/>
            <w:tcMar>
              <w:top w:type="dxa" w:w="100"/>
              <w:left w:type="dxa" w:w="140"/>
              <w:bottom w:type="dxa" w:w="100"/>
              <w:right w:type="dxa" w:w="140"/>
            </w:tcMar>
            <w:vAlign w:val="top"/>
          </w:tcPr>
          <w:p>
            <w:pPr>
              <w:jc w:val="center"/>
            </w:pPr>
            <w:r>
              <w:rPr>
                <w:rFonts w:ascii="Arial" w:cs="Arial" w:eastAsia="Arial" w:hAnsi="Arial"/>
                <w:b/>
                <w:bCs/>
                <w:color w:val="1E293B"/>
                <w:sz w:val="20"/>
                <w:szCs w:val="20"/>
              </w:rPr>
              <w:t xml:space="preserve">R2</w:t>
            </w:r>
          </w:p>
        </w:tc>
        <w:tc>
          <w:tcPr>
            <w:tcW w:type="dxa" w:w="26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b/>
                <w:bCs/>
                <w:color w:val="1E293B"/>
                <w:sz w:val="20"/>
                <w:szCs w:val="20"/>
              </w:rPr>
              <w:t xml:space="preserve">LINE OA as incumbent channel — providers unwilling to switch</w:t>
            </w:r>
          </w:p>
        </w:tc>
        <w:tc>
          <w:tcPr>
            <w:tcW w:type="dxa" w:w="1200"/>
            <w:tcBorders>
              <w:top w:val="single" w:color="E2E8F0" w:sz="4"/>
              <w:left w:val="single" w:color="E2E8F0" w:sz="4"/>
              <w:bottom w:val="single" w:color="E2E8F0" w:sz="4"/>
              <w:right w:val="single" w:color="E2E8F0" w:sz="4"/>
            </w:tcBorders>
            <w:shd w:fill="FEF3C7" w:val="clear"/>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Medium-High</w:t>
            </w:r>
          </w:p>
        </w:tc>
        <w:tc>
          <w:tcPr>
            <w:tcW w:type="dxa" w:w="508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Position Pawtal as LINE-compatible, not a replacement; LIFF integration keeps users in LINE ecosystem</w:t>
            </w:r>
          </w:p>
        </w:tc>
      </w:tr>
      <w:tr>
        <w:tc>
          <w:tcPr>
            <w:tcW w:type="dxa" w:w="1200"/>
            <w:tcBorders>
              <w:top w:val="single" w:color="E2E8F0" w:sz="4"/>
              <w:left w:val="single" w:color="E2E8F0" w:sz="4"/>
              <w:bottom w:val="single" w:color="E2E8F0" w:sz="4"/>
              <w:right w:val="single" w:color="E2E8F0" w:sz="4"/>
            </w:tcBorders>
            <w:shd w:fill="E8F0F7" w:val="clear"/>
            <w:tcMar>
              <w:top w:type="dxa" w:w="100"/>
              <w:left w:type="dxa" w:w="140"/>
              <w:bottom w:type="dxa" w:w="100"/>
              <w:right w:type="dxa" w:w="140"/>
            </w:tcMar>
            <w:vAlign w:val="top"/>
          </w:tcPr>
          <w:p>
            <w:pPr>
              <w:jc w:val="center"/>
            </w:pPr>
            <w:r>
              <w:rPr>
                <w:rFonts w:ascii="Arial" w:cs="Arial" w:eastAsia="Arial" w:hAnsi="Arial"/>
                <w:b/>
                <w:bCs/>
                <w:color w:val="1E293B"/>
                <w:sz w:val="20"/>
                <w:szCs w:val="20"/>
              </w:rPr>
              <w:t xml:space="preserve">R3</w:t>
            </w:r>
          </w:p>
        </w:tc>
        <w:tc>
          <w:tcPr>
            <w:tcW w:type="dxa" w:w="26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b/>
                <w:bCs/>
                <w:color w:val="1E293B"/>
                <w:sz w:val="20"/>
                <w:szCs w:val="20"/>
              </w:rPr>
              <w:t xml:space="preserve">Trust deficit — new platform with no social proof</w:t>
            </w:r>
          </w:p>
        </w:tc>
        <w:tc>
          <w:tcPr>
            <w:tcW w:type="dxa" w:w="1200"/>
            <w:tcBorders>
              <w:top w:val="single" w:color="E2E8F0" w:sz="4"/>
              <w:left w:val="single" w:color="E2E8F0" w:sz="4"/>
              <w:bottom w:val="single" w:color="E2E8F0" w:sz="4"/>
              <w:right w:val="single" w:color="E2E8F0" w:sz="4"/>
            </w:tcBorders>
            <w:shd w:fill="FEE2E2" w:val="clear"/>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High (early)</w:t>
            </w:r>
          </w:p>
        </w:tc>
        <w:tc>
          <w:tcPr>
            <w:tcW w:type="dxa" w:w="508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Seed with 10–15 "anchor providers" before public launch; publish case studies; offer free trials</w:t>
            </w:r>
          </w:p>
        </w:tc>
      </w:tr>
      <w:tr>
        <w:tc>
          <w:tcPr>
            <w:tcW w:type="dxa" w:w="1200"/>
            <w:tcBorders>
              <w:top w:val="single" w:color="E2E8F0" w:sz="4"/>
              <w:left w:val="single" w:color="E2E8F0" w:sz="4"/>
              <w:bottom w:val="single" w:color="E2E8F0" w:sz="4"/>
              <w:right w:val="single" w:color="E2E8F0" w:sz="4"/>
            </w:tcBorders>
            <w:shd w:fill="E8F0F7" w:val="clear"/>
            <w:tcMar>
              <w:top w:type="dxa" w:w="100"/>
              <w:left w:type="dxa" w:w="140"/>
              <w:bottom w:type="dxa" w:w="100"/>
              <w:right w:type="dxa" w:w="140"/>
            </w:tcMar>
            <w:vAlign w:val="top"/>
          </w:tcPr>
          <w:p>
            <w:pPr>
              <w:jc w:val="center"/>
            </w:pPr>
            <w:r>
              <w:rPr>
                <w:rFonts w:ascii="Arial" w:cs="Arial" w:eastAsia="Arial" w:hAnsi="Arial"/>
                <w:b/>
                <w:bCs/>
                <w:color w:val="1E293B"/>
                <w:sz w:val="20"/>
                <w:szCs w:val="20"/>
              </w:rPr>
              <w:t xml:space="preserve">R4</w:t>
            </w:r>
          </w:p>
        </w:tc>
        <w:tc>
          <w:tcPr>
            <w:tcW w:type="dxa" w:w="26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b/>
                <w:bCs/>
                <w:color w:val="1E293B"/>
                <w:sz w:val="20"/>
                <w:szCs w:val="20"/>
              </w:rPr>
              <w:t xml:space="preserve">Empty marketplace — insufficient supply for customer demand</w:t>
            </w:r>
          </w:p>
        </w:tc>
        <w:tc>
          <w:tcPr>
            <w:tcW w:type="dxa" w:w="1200"/>
            <w:tcBorders>
              <w:top w:val="single" w:color="E2E8F0" w:sz="4"/>
              <w:left w:val="single" w:color="E2E8F0" w:sz="4"/>
              <w:bottom w:val="single" w:color="E2E8F0" w:sz="4"/>
              <w:right w:val="single" w:color="E2E8F0" w:sz="4"/>
            </w:tcBorders>
            <w:shd w:fill="FEF3C7" w:val="clear"/>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Medium</w:t>
            </w:r>
          </w:p>
        </w:tc>
        <w:tc>
          <w:tcPr>
            <w:tcW w:type="dxa" w:w="508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Supply-first MVP#1 strategy ensures provider base built before MVP#2 customer launch</w:t>
            </w:r>
          </w:p>
        </w:tc>
      </w:tr>
      <w:tr>
        <w:tc>
          <w:tcPr>
            <w:tcW w:type="dxa" w:w="1200"/>
            <w:tcBorders>
              <w:top w:val="single" w:color="E2E8F0" w:sz="4"/>
              <w:left w:val="single" w:color="E2E8F0" w:sz="4"/>
              <w:bottom w:val="single" w:color="E2E8F0" w:sz="4"/>
              <w:right w:val="single" w:color="E2E8F0" w:sz="4"/>
            </w:tcBorders>
            <w:shd w:fill="E8F0F7" w:val="clear"/>
            <w:tcMar>
              <w:top w:type="dxa" w:w="100"/>
              <w:left w:type="dxa" w:w="140"/>
              <w:bottom w:type="dxa" w:w="100"/>
              <w:right w:type="dxa" w:w="140"/>
            </w:tcMar>
            <w:vAlign w:val="top"/>
          </w:tcPr>
          <w:p>
            <w:pPr>
              <w:jc w:val="center"/>
            </w:pPr>
            <w:r>
              <w:rPr>
                <w:rFonts w:ascii="Arial" w:cs="Arial" w:eastAsia="Arial" w:hAnsi="Arial"/>
                <w:b/>
                <w:bCs/>
                <w:color w:val="1E293B"/>
                <w:sz w:val="20"/>
                <w:szCs w:val="20"/>
              </w:rPr>
              <w:t xml:space="preserve">R5</w:t>
            </w:r>
          </w:p>
        </w:tc>
        <w:tc>
          <w:tcPr>
            <w:tcW w:type="dxa" w:w="26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b/>
                <w:bCs/>
                <w:color w:val="1E293B"/>
                <w:sz w:val="20"/>
                <w:szCs w:val="20"/>
              </w:rPr>
              <w:t xml:space="preserve">Market entrant from well-funded SEA player (PetPal, JoJo Pets)</w:t>
            </w:r>
          </w:p>
        </w:tc>
        <w:tc>
          <w:tcPr>
            <w:tcW w:type="dxa" w:w="1200"/>
            <w:tcBorders>
              <w:top w:val="single" w:color="E2E8F0" w:sz="4"/>
              <w:left w:val="single" w:color="E2E8F0" w:sz="4"/>
              <w:bottom w:val="single" w:color="E2E8F0" w:sz="4"/>
              <w:right w:val="single" w:color="E2E8F0" w:sz="4"/>
            </w:tcBorders>
            <w:shd w:fill="DCFCE7" w:val="clear"/>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Low (Year 1)</w:t>
            </w:r>
          </w:p>
        </w:tc>
        <w:tc>
          <w:tcPr>
            <w:tcW w:type="dxa" w:w="508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Move fast; build local relationships; differentiate on Thai cultural fit and LINE OA integration</w:t>
            </w:r>
          </w:p>
        </w:tc>
      </w:tr>
      <w:tr>
        <w:tc>
          <w:tcPr>
            <w:tcW w:type="dxa" w:w="1200"/>
            <w:tcBorders>
              <w:top w:val="single" w:color="E2E8F0" w:sz="4"/>
              <w:left w:val="single" w:color="E2E8F0" w:sz="4"/>
              <w:bottom w:val="single" w:color="E2E8F0" w:sz="4"/>
              <w:right w:val="single" w:color="E2E8F0" w:sz="4"/>
            </w:tcBorders>
            <w:shd w:fill="E8F0F7" w:val="clear"/>
            <w:tcMar>
              <w:top w:type="dxa" w:w="100"/>
              <w:left w:type="dxa" w:w="140"/>
              <w:bottom w:type="dxa" w:w="100"/>
              <w:right w:type="dxa" w:w="140"/>
            </w:tcMar>
            <w:vAlign w:val="top"/>
          </w:tcPr>
          <w:p>
            <w:pPr>
              <w:jc w:val="center"/>
            </w:pPr>
            <w:r>
              <w:rPr>
                <w:rFonts w:ascii="Arial" w:cs="Arial" w:eastAsia="Arial" w:hAnsi="Arial"/>
                <w:b/>
                <w:bCs/>
                <w:color w:val="1E293B"/>
                <w:sz w:val="20"/>
                <w:szCs w:val="20"/>
              </w:rPr>
              <w:t xml:space="preserve">R6</w:t>
            </w:r>
          </w:p>
        </w:tc>
        <w:tc>
          <w:tcPr>
            <w:tcW w:type="dxa" w:w="26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jc w:val="left"/>
            </w:pPr>
            <w:r>
              <w:rPr>
                <w:rFonts w:ascii="Arial" w:cs="Arial" w:eastAsia="Arial" w:hAnsi="Arial"/>
                <w:b/>
                <w:bCs/>
                <w:color w:val="1E293B"/>
                <w:sz w:val="20"/>
                <w:szCs w:val="20"/>
              </w:rPr>
              <w:t xml:space="preserve">PDPA non-compliance — data handling violations</w:t>
            </w:r>
          </w:p>
        </w:tc>
        <w:tc>
          <w:tcPr>
            <w:tcW w:type="dxa" w:w="1200"/>
            <w:tcBorders>
              <w:top w:val="single" w:color="E2E8F0" w:sz="4"/>
              <w:left w:val="single" w:color="E2E8F0" w:sz="4"/>
              <w:bottom w:val="single" w:color="E2E8F0" w:sz="4"/>
              <w:right w:val="single" w:color="E2E8F0" w:sz="4"/>
            </w:tcBorders>
            <w:shd w:fill="DCFCE7" w:val="clear"/>
            <w:tcMar>
              <w:top w:type="dxa" w:w="100"/>
              <w:left w:type="dxa" w:w="140"/>
              <w:bottom w:type="dxa" w:w="100"/>
              <w:right w:type="dxa" w:w="140"/>
            </w:tcMar>
            <w:vAlign w:val="top"/>
          </w:tcPr>
          <w:p>
            <w:pPr>
              <w:jc w:val="center"/>
            </w:pPr>
            <w:r>
              <w:rPr>
                <w:rFonts w:ascii="Arial" w:cs="Arial" w:eastAsia="Arial" w:hAnsi="Arial"/>
                <w:color w:val="1E293B"/>
                <w:sz w:val="20"/>
                <w:szCs w:val="20"/>
              </w:rPr>
              <w:t xml:space="preserve">Low</w:t>
            </w:r>
          </w:p>
        </w:tc>
        <w:tc>
          <w:tcPr>
            <w:tcW w:type="dxa" w:w="508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jc w:val="left"/>
            </w:pPr>
            <w:r>
              <w:rPr>
                <w:rFonts w:ascii="Arial" w:cs="Arial" w:eastAsia="Arial" w:hAnsi="Arial"/>
                <w:color w:val="1E293B"/>
                <w:sz w:val="20"/>
                <w:szCs w:val="20"/>
              </w:rPr>
              <w:t xml:space="preserve">PDPA-compliant consent capture from Day 1; legal review of privacy policy; data minimisation principle</w:t>
            </w:r>
          </w:p>
        </w:tc>
      </w:tr>
    </w:tbl>
    <w:p>
      <w:r>
        <w:br w:type="page"/>
      </w:r>
    </w:p>
    <w:p>
      <w:pPr>
        <w:pStyle w:val="Heading1"/>
        <w:pBdr>
          <w:bottom w:val="single" w:color="0D7377" w:sz="6" w:space="4"/>
        </w:pBdr>
        <w:spacing w:after="160" w:before="320"/>
      </w:pPr>
      <w:r>
        <w:rPr>
          <w:rFonts w:ascii="Arial" w:cs="Arial" w:eastAsia="Arial" w:hAnsi="Arial"/>
          <w:b/>
          <w:bCs/>
          <w:color w:val="1A3C5E"/>
          <w:sz w:val="32"/>
          <w:szCs w:val="32"/>
        </w:rPr>
        <w:t xml:space="preserve">References</w:t>
      </w:r>
    </w:p>
    <w:p>
      <w:pPr>
        <w:spacing w:after="120" w:before="60"/>
      </w:pPr>
      <w:r>
        <w:rPr>
          <w:rFonts w:ascii="Arial" w:cs="Arial" w:eastAsia="Arial" w:hAnsi="Arial"/>
        </w:rPr>
        <w:t xml:space="preserve">All market statistics and data cited in this report are drawn from the following primary and secondary sources. Superscript numbers in the text correspond to the footnotes appearing at the bottom of each page.</w:t>
      </w:r>
    </w:p>
    <w:p>
      <w:pPr>
        <w:spacing w:after="80" w:before="0"/>
      </w:pPr>
      <w:r>
        <w:rPr>
          <w:rFonts w:ascii="Arial" w:cs="Arial" w:eastAsia="Arial" w:hAnsi="Arial"/>
        </w:rPr>
        <w:t xml:space="preserve"/>
      </w:r>
    </w:p>
    <w:p>
      <w:pPr>
        <w:pStyle w:val="Heading2"/>
        <w:spacing w:after="120" w:before="240"/>
      </w:pPr>
      <w:r>
        <w:rPr>
          <w:rFonts w:ascii="Arial" w:cs="Arial" w:eastAsia="Arial" w:hAnsi="Arial"/>
          <w:b/>
          <w:bCs/>
          <w:color w:val="0D7377"/>
          <w:sz w:val="26"/>
          <w:szCs w:val="26"/>
        </w:rPr>
        <w:t xml:space="preserve">Market Research &amp; Industry Reports</w:t>
      </w:r>
    </w:p>
    <w:p>
      <w:pPr>
        <w:spacing w:after="60" w:before="60"/>
        <w:ind w:left="360" w:hanging="360"/>
      </w:pPr>
      <w:r>
        <w:rPr>
          <w:rFonts w:ascii="Arial" w:cs="Arial" w:eastAsia="Arial" w:hAnsi="Arial"/>
          <w:b/>
          <w:bCs/>
          <w:color w:val="1A3C5E"/>
          <w:sz w:val="20"/>
          <w:szCs w:val="20"/>
        </w:rPr>
        <w:t xml:space="preserve">[1]  </w:t>
      </w:r>
      <w:r>
        <w:rPr>
          <w:rFonts w:ascii="Arial" w:cs="Arial" w:eastAsia="Arial" w:hAnsi="Arial"/>
          <w:sz w:val="20"/>
          <w:szCs w:val="20"/>
        </w:rPr>
        <w:t xml:space="preserve">ttb analytics (2024). Thailand Pet Market Annual Report 2024. Cited in: Nation Thailand, "Pet Economy on the Rise", 18 November 2024.</w:t>
      </w:r>
      <w:r>
        <w:rPr>
          <w:rFonts w:ascii="Arial" w:cs="Arial" w:eastAsia="Arial" w:hAnsi="Arial"/>
        </w:rPr>
        <w:t xml:space="preserve">  </w:t>
      </w:r>
      <w:hyperlink w:history="1" r:id="rId9zt2b9qxdzp3wnibtsqeg">
        <w:r>
          <w:rPr>
            <w:rStyle w:val="Hyperlink"/>
            <w:rFonts w:ascii="Arial" w:cs="Arial" w:eastAsia="Arial" w:hAnsi="Arial"/>
            <w:sz w:val="18"/>
            <w:szCs w:val="18"/>
          </w:rPr>
          <w:t xml:space="preserve">https://www.nationthailand.com/blogs/business/economy/40039878</w:t>
        </w:r>
      </w:hyperlink>
    </w:p>
    <w:p>
      <w:pPr>
        <w:spacing w:after="60" w:before="60"/>
        <w:ind w:left="360" w:hanging="360"/>
      </w:pPr>
      <w:r>
        <w:rPr>
          <w:rFonts w:ascii="Arial" w:cs="Arial" w:eastAsia="Arial" w:hAnsi="Arial"/>
          <w:b/>
          <w:bCs/>
          <w:color w:val="1A3C5E"/>
          <w:sz w:val="20"/>
          <w:szCs w:val="20"/>
        </w:rPr>
        <w:t xml:space="preserve">[2]  </w:t>
      </w:r>
      <w:r>
        <w:rPr>
          <w:rFonts w:ascii="Arial" w:cs="Arial" w:eastAsia="Arial" w:hAnsi="Arial"/>
          <w:sz w:val="20"/>
          <w:szCs w:val="20"/>
        </w:rPr>
        <w:t xml:space="preserve">Pet Fair South-East Asia (2025). Thailand Pet Market Overview — Government data presented at Pet Fair SEA 2025.</w:t>
      </w:r>
      <w:r>
        <w:rPr>
          <w:rFonts w:ascii="Arial" w:cs="Arial" w:eastAsia="Arial" w:hAnsi="Arial"/>
        </w:rPr>
        <w:t xml:space="preserve">  </w:t>
      </w:r>
      <w:hyperlink w:history="1" r:id="rIdnjxtcc410talgf-kelsim">
        <w:r>
          <w:rPr>
            <w:rStyle w:val="Hyperlink"/>
            <w:rFonts w:ascii="Arial" w:cs="Arial" w:eastAsia="Arial" w:hAnsi="Arial"/>
            <w:sz w:val="18"/>
            <w:szCs w:val="18"/>
          </w:rPr>
          <w:t xml:space="preserve">https://petfair-sea.com/asia-markets/southeast-asia-pet-market/thailand-pet-market/</w:t>
        </w:r>
      </w:hyperlink>
    </w:p>
    <w:p>
      <w:pPr>
        <w:spacing w:after="60" w:before="60"/>
        <w:ind w:left="360" w:hanging="360"/>
      </w:pPr>
      <w:r>
        <w:rPr>
          <w:rFonts w:ascii="Arial" w:cs="Arial" w:eastAsia="Arial" w:hAnsi="Arial"/>
          <w:b/>
          <w:bCs/>
          <w:color w:val="1A3C5E"/>
          <w:sz w:val="20"/>
          <w:szCs w:val="20"/>
        </w:rPr>
        <w:t xml:space="preserve">[3]  </w:t>
      </w:r>
      <w:r>
        <w:rPr>
          <w:rFonts w:ascii="Arial" w:cs="Arial" w:eastAsia="Arial" w:hAnsi="Arial"/>
          <w:sz w:val="20"/>
          <w:szCs w:val="20"/>
        </w:rPr>
        <w:t xml:space="preserve">ttb analytics (2024). 2019–2024 CAGR calculation. Cited in: Nation Thailand, "Pet Economy on the Rise", November 2024.</w:t>
      </w:r>
      <w:r>
        <w:rPr>
          <w:rFonts w:ascii="Arial" w:cs="Arial" w:eastAsia="Arial" w:hAnsi="Arial"/>
        </w:rPr>
        <w:t xml:space="preserve">  </w:t>
      </w:r>
      <w:hyperlink w:history="1" r:id="rId-c-o6b0noermqhox0qjhi">
        <w:r>
          <w:rPr>
            <w:rStyle w:val="Hyperlink"/>
            <w:rFonts w:ascii="Arial" w:cs="Arial" w:eastAsia="Arial" w:hAnsi="Arial"/>
            <w:sz w:val="18"/>
            <w:szCs w:val="18"/>
          </w:rPr>
          <w:t xml:space="preserve">https://www.nationthailand.com/blogs/business/economy/40039878</w:t>
        </w:r>
      </w:hyperlink>
    </w:p>
    <w:p>
      <w:pPr>
        <w:spacing w:after="60" w:before="60"/>
        <w:ind w:left="360" w:hanging="360"/>
      </w:pPr>
      <w:r>
        <w:rPr>
          <w:rFonts w:ascii="Arial" w:cs="Arial" w:eastAsia="Arial" w:hAnsi="Arial"/>
          <w:b/>
          <w:bCs/>
          <w:color w:val="1A3C5E"/>
          <w:sz w:val="20"/>
          <w:szCs w:val="20"/>
        </w:rPr>
        <w:t xml:space="preserve">[4]  </w:t>
      </w:r>
      <w:r>
        <w:rPr>
          <w:rFonts w:ascii="Arial" w:cs="Arial" w:eastAsia="Arial" w:hAnsi="Arial"/>
          <w:sz w:val="20"/>
          <w:szCs w:val="20"/>
        </w:rPr>
        <w:t xml:space="preserve">Kasetsart University Faculty of Veterinary Medicine (2024). Second Pet Population Survey of Thailand, Q2 2024. [No public URL — cited via multiple secondary sources]</w:t>
      </w:r>
    </w:p>
    <w:p>
      <w:pPr>
        <w:spacing w:after="60" w:before="60"/>
        <w:ind w:left="360" w:hanging="360"/>
      </w:pPr>
      <w:r>
        <w:rPr>
          <w:rFonts w:ascii="Arial" w:cs="Arial" w:eastAsia="Arial" w:hAnsi="Arial"/>
          <w:b/>
          <w:bCs/>
          <w:color w:val="1A3C5E"/>
          <w:sz w:val="20"/>
          <w:szCs w:val="20"/>
        </w:rPr>
        <w:t xml:space="preserve">[5]  </w:t>
      </w:r>
      <w:r>
        <w:rPr>
          <w:rFonts w:ascii="Arial" w:cs="Arial" w:eastAsia="Arial" w:hAnsi="Arial"/>
          <w:sz w:val="20"/>
          <w:szCs w:val="20"/>
        </w:rPr>
        <w:t xml:space="preserve">Kasikorn Research Centre (2025). Thailand Pet Industry Outlook 2025. Cited in: GlobalPETS, "The Pet Industry in Thailand", 2024.</w:t>
      </w:r>
      <w:r>
        <w:rPr>
          <w:rFonts w:ascii="Arial" w:cs="Arial" w:eastAsia="Arial" w:hAnsi="Arial"/>
        </w:rPr>
        <w:t xml:space="preserve">  </w:t>
      </w:r>
      <w:hyperlink w:history="1" r:id="rIdubct_-kcvawssfdocu3di">
        <w:r>
          <w:rPr>
            <w:rStyle w:val="Hyperlink"/>
            <w:rFonts w:ascii="Arial" w:cs="Arial" w:eastAsia="Arial" w:hAnsi="Arial"/>
            <w:sz w:val="18"/>
            <w:szCs w:val="18"/>
          </w:rPr>
          <w:t xml:space="preserve">https://globalpetindustry.com/news/the-pet-industry-in-thailand/</w:t>
        </w:r>
      </w:hyperlink>
    </w:p>
    <w:p>
      <w:pPr>
        <w:spacing w:after="60" w:before="60"/>
        <w:ind w:left="360" w:hanging="360"/>
      </w:pPr>
      <w:r>
        <w:rPr>
          <w:rFonts w:ascii="Arial" w:cs="Arial" w:eastAsia="Arial" w:hAnsi="Arial"/>
          <w:b/>
          <w:bCs/>
          <w:color w:val="1A3C5E"/>
          <w:sz w:val="20"/>
          <w:szCs w:val="20"/>
        </w:rPr>
        <w:t xml:space="preserve">[6]  </w:t>
      </w:r>
      <w:r>
        <w:rPr>
          <w:rFonts w:ascii="Arial" w:cs="Arial" w:eastAsia="Arial" w:hAnsi="Arial"/>
          <w:sz w:val="20"/>
          <w:szCs w:val="20"/>
        </w:rPr>
        <w:t xml:space="preserve">Grand View Research (2024). Thailand Pet Services Market Size &amp; Outlook, 2030. Grand View Research Horizon Series.</w:t>
      </w:r>
      <w:r>
        <w:rPr>
          <w:rFonts w:ascii="Arial" w:cs="Arial" w:eastAsia="Arial" w:hAnsi="Arial"/>
        </w:rPr>
        <w:t xml:space="preserve">  </w:t>
      </w:r>
      <w:hyperlink w:history="1" r:id="rIdlqxyqgfga7brbeluzusen">
        <w:r>
          <w:rPr>
            <w:rStyle w:val="Hyperlink"/>
            <w:rFonts w:ascii="Arial" w:cs="Arial" w:eastAsia="Arial" w:hAnsi="Arial"/>
            <w:sz w:val="18"/>
            <w:szCs w:val="18"/>
          </w:rPr>
          <w:t xml:space="preserve">https://www.grandviewresearch.com/horizon/outlook/pet-services-market/thailand</w:t>
        </w:r>
      </w:hyperlink>
    </w:p>
    <w:p>
      <w:pPr>
        <w:spacing w:after="60" w:before="60"/>
        <w:ind w:left="360" w:hanging="360"/>
      </w:pPr>
      <w:r>
        <w:rPr>
          <w:rFonts w:ascii="Arial" w:cs="Arial" w:eastAsia="Arial" w:hAnsi="Arial"/>
          <w:b/>
          <w:bCs/>
          <w:color w:val="1A3C5E"/>
          <w:sz w:val="20"/>
          <w:szCs w:val="20"/>
        </w:rPr>
        <w:t xml:space="preserve">[7]  </w:t>
      </w:r>
      <w:r>
        <w:rPr>
          <w:rFonts w:ascii="Arial" w:cs="Arial" w:eastAsia="Arial" w:hAnsi="Arial"/>
          <w:sz w:val="20"/>
          <w:szCs w:val="20"/>
        </w:rPr>
        <w:t xml:space="preserve">Grand View Research (2024). Thailand Pet Grooming Services Market Size &amp; Outlook, 2030. Grand View Research Horizon Series.</w:t>
      </w:r>
      <w:r>
        <w:rPr>
          <w:rFonts w:ascii="Arial" w:cs="Arial" w:eastAsia="Arial" w:hAnsi="Arial"/>
        </w:rPr>
        <w:t xml:space="preserve">  </w:t>
      </w:r>
      <w:hyperlink w:history="1" r:id="rIdhy5zm0e0sfemeghbcv7g0">
        <w:r>
          <w:rPr>
            <w:rStyle w:val="Hyperlink"/>
            <w:rFonts w:ascii="Arial" w:cs="Arial" w:eastAsia="Arial" w:hAnsi="Arial"/>
            <w:sz w:val="18"/>
            <w:szCs w:val="18"/>
          </w:rPr>
          <w:t xml:space="preserve">https://www.grandviewresearch.com/horizon/outlook/pet-grooming-services-market/thailand</w:t>
        </w:r>
      </w:hyperlink>
    </w:p>
    <w:p>
      <w:pPr>
        <w:spacing w:after="60" w:before="60"/>
        <w:ind w:left="360" w:hanging="360"/>
      </w:pPr>
      <w:r>
        <w:rPr>
          <w:rFonts w:ascii="Arial" w:cs="Arial" w:eastAsia="Arial" w:hAnsi="Arial"/>
          <w:b/>
          <w:bCs/>
          <w:color w:val="1A3C5E"/>
          <w:sz w:val="20"/>
          <w:szCs w:val="20"/>
        </w:rPr>
        <w:t xml:space="preserve">[8]  </w:t>
      </w:r>
      <w:r>
        <w:rPr>
          <w:rFonts w:ascii="Arial" w:cs="Arial" w:eastAsia="Arial" w:hAnsi="Arial"/>
          <w:sz w:val="20"/>
          <w:szCs w:val="20"/>
        </w:rPr>
        <w:t xml:space="preserve">TGM Research (2024). Insights on Pet Owners in Thailand: Pet Care Survey 2024. TGM Research Proprietary Study.</w:t>
      </w:r>
      <w:r>
        <w:rPr>
          <w:rFonts w:ascii="Arial" w:cs="Arial" w:eastAsia="Arial" w:hAnsi="Arial"/>
        </w:rPr>
        <w:t xml:space="preserve">  </w:t>
      </w:r>
      <w:hyperlink w:history="1" r:id="rId2rx6vkrnvytoztslalme5">
        <w:r>
          <w:rPr>
            <w:rStyle w:val="Hyperlink"/>
            <w:rFonts w:ascii="Arial" w:cs="Arial" w:eastAsia="Arial" w:hAnsi="Arial"/>
            <w:sz w:val="18"/>
            <w:szCs w:val="18"/>
          </w:rPr>
          <w:t xml:space="preserve">https://tgmresearch.com/pet-care-2024-insights-in-thailand.html</w:t>
        </w:r>
      </w:hyperlink>
    </w:p>
    <w:p>
      <w:pPr>
        <w:spacing w:after="60" w:before="60"/>
        <w:ind w:left="360" w:hanging="360"/>
      </w:pPr>
      <w:r>
        <w:rPr>
          <w:rFonts w:ascii="Arial" w:cs="Arial" w:eastAsia="Arial" w:hAnsi="Arial"/>
          <w:b/>
          <w:bCs/>
          <w:color w:val="1A3C5E"/>
          <w:sz w:val="20"/>
          <w:szCs w:val="20"/>
        </w:rPr>
        <w:t xml:space="preserve">[9]  </w:t>
      </w:r>
      <w:r>
        <w:rPr>
          <w:rFonts w:ascii="Arial" w:cs="Arial" w:eastAsia="Arial" w:hAnsi="Arial"/>
          <w:sz w:val="20"/>
          <w:szCs w:val="20"/>
        </w:rPr>
        <w:t xml:space="preserve">TGM Research (2024). Thailand Pet Humanization Insights 2024: Consumer Behavior and Trends.</w:t>
      </w:r>
      <w:r>
        <w:rPr>
          <w:rFonts w:ascii="Arial" w:cs="Arial" w:eastAsia="Arial" w:hAnsi="Arial"/>
        </w:rPr>
        <w:t xml:space="preserve">  </w:t>
      </w:r>
      <w:hyperlink w:history="1" r:id="rId1qfw9jcxgsy47wbzr7d9f">
        <w:r>
          <w:rPr>
            <w:rStyle w:val="Hyperlink"/>
            <w:rFonts w:ascii="Arial" w:cs="Arial" w:eastAsia="Arial" w:hAnsi="Arial"/>
            <w:sz w:val="18"/>
            <w:szCs w:val="18"/>
          </w:rPr>
          <w:t xml:space="preserve">https://tgmresearch.com/pet-humanization-report-thailand.html</w:t>
        </w:r>
      </w:hyperlink>
    </w:p>
    <w:p>
      <w:pPr>
        <w:spacing w:after="60" w:before="60"/>
        <w:ind w:left="360" w:hanging="360"/>
      </w:pPr>
      <w:r>
        <w:rPr>
          <w:rFonts w:ascii="Arial" w:cs="Arial" w:eastAsia="Arial" w:hAnsi="Arial"/>
          <w:b/>
          <w:bCs/>
          <w:color w:val="1A3C5E"/>
          <w:sz w:val="20"/>
          <w:szCs w:val="20"/>
        </w:rPr>
        <w:t xml:space="preserve">[10]  </w:t>
      </w:r>
      <w:r>
        <w:rPr>
          <w:rFonts w:ascii="Arial" w:cs="Arial" w:eastAsia="Arial" w:hAnsi="Arial"/>
          <w:sz w:val="20"/>
          <w:szCs w:val="20"/>
        </w:rPr>
        <w:t xml:space="preserve">Nation Thailand (2024). "Pet humanisation trend playing a big role in expanding Thailand's pet market", 2024.</w:t>
      </w:r>
      <w:r>
        <w:rPr>
          <w:rFonts w:ascii="Arial" w:cs="Arial" w:eastAsia="Arial" w:hAnsi="Arial"/>
        </w:rPr>
        <w:t xml:space="preserve">  </w:t>
      </w:r>
      <w:hyperlink w:history="1" r:id="rIdahyk7dkywemicra-cwjnx">
        <w:r>
          <w:rPr>
            <w:rStyle w:val="Hyperlink"/>
            <w:rFonts w:ascii="Arial" w:cs="Arial" w:eastAsia="Arial" w:hAnsi="Arial"/>
            <w:sz w:val="18"/>
            <w:szCs w:val="18"/>
          </w:rPr>
          <w:t xml:space="preserve">https://www.nationthailand.com/blogs/business/investment/40041496</w:t>
        </w:r>
      </w:hyperlink>
    </w:p>
    <w:p>
      <w:pPr>
        <w:spacing w:after="60" w:before="60"/>
        <w:ind w:left="360" w:hanging="360"/>
      </w:pPr>
      <w:r>
        <w:rPr>
          <w:rFonts w:ascii="Arial" w:cs="Arial" w:eastAsia="Arial" w:hAnsi="Arial"/>
          <w:b/>
          <w:bCs/>
          <w:color w:val="1A3C5E"/>
          <w:sz w:val="20"/>
          <w:szCs w:val="20"/>
        </w:rPr>
        <w:t xml:space="preserve">[11]  </w:t>
      </w:r>
      <w:r>
        <w:rPr>
          <w:rFonts w:ascii="Arial" w:cs="Arial" w:eastAsia="Arial" w:hAnsi="Arial"/>
          <w:sz w:val="20"/>
          <w:szCs w:val="20"/>
        </w:rPr>
        <w:t xml:space="preserve">Mordor Intelligence (2024). Thailand Pet Food Market Size &amp; Share Analysis — Industry Research Report.</w:t>
      </w:r>
      <w:r>
        <w:rPr>
          <w:rFonts w:ascii="Arial" w:cs="Arial" w:eastAsia="Arial" w:hAnsi="Arial"/>
        </w:rPr>
        <w:t xml:space="preserve">  </w:t>
      </w:r>
      <w:hyperlink w:history="1" r:id="rIdrkah-jjco0hypjbhlymrp">
        <w:r>
          <w:rPr>
            <w:rStyle w:val="Hyperlink"/>
            <w:rFonts w:ascii="Arial" w:cs="Arial" w:eastAsia="Arial" w:hAnsi="Arial"/>
            <w:sz w:val="18"/>
            <w:szCs w:val="18"/>
          </w:rPr>
          <w:t xml:space="preserve">https://www.mordorintelligence.com/industry-reports/thailand-pet-food-market</w:t>
        </w:r>
      </w:hyperlink>
    </w:p>
    <w:p>
      <w:pPr>
        <w:spacing w:after="60" w:before="60"/>
        <w:ind w:left="360" w:hanging="360"/>
      </w:pPr>
      <w:r>
        <w:rPr>
          <w:rFonts w:ascii="Arial" w:cs="Arial" w:eastAsia="Arial" w:hAnsi="Arial"/>
          <w:b/>
          <w:bCs/>
          <w:color w:val="1A3C5E"/>
          <w:sz w:val="20"/>
          <w:szCs w:val="20"/>
        </w:rPr>
        <w:t xml:space="preserve">[12]  </w:t>
      </w:r>
      <w:r>
        <w:rPr>
          <w:rFonts w:ascii="Arial" w:cs="Arial" w:eastAsia="Arial" w:hAnsi="Arial"/>
          <w:sz w:val="20"/>
          <w:szCs w:val="20"/>
        </w:rPr>
        <w:t xml:space="preserve">DataReportal / Meltwater / We Are Social (2025). Digital 2025: Thailand — Global Digital Insights, January 2025.</w:t>
      </w:r>
      <w:r>
        <w:rPr>
          <w:rFonts w:ascii="Arial" w:cs="Arial" w:eastAsia="Arial" w:hAnsi="Arial"/>
        </w:rPr>
        <w:t xml:space="preserve">  </w:t>
      </w:r>
      <w:hyperlink w:history="1" r:id="rIdb94cbnmi0jd6rxsrn1l07">
        <w:r>
          <w:rPr>
            <w:rStyle w:val="Hyperlink"/>
            <w:rFonts w:ascii="Arial" w:cs="Arial" w:eastAsia="Arial" w:hAnsi="Arial"/>
            <w:sz w:val="18"/>
            <w:szCs w:val="18"/>
          </w:rPr>
          <w:t xml:space="preserve">https://datareportal.com/reports/digital-2025-thailand</w:t>
        </w:r>
      </w:hyperlink>
    </w:p>
    <w:p>
      <w:pPr>
        <w:spacing w:after="60" w:before="60"/>
        <w:ind w:left="360" w:hanging="360"/>
      </w:pPr>
      <w:r>
        <w:rPr>
          <w:rFonts w:ascii="Arial" w:cs="Arial" w:eastAsia="Arial" w:hAnsi="Arial"/>
          <w:b/>
          <w:bCs/>
          <w:color w:val="1A3C5E"/>
          <w:sz w:val="20"/>
          <w:szCs w:val="20"/>
        </w:rPr>
        <w:t xml:space="preserve">[13]  </w:t>
      </w:r>
      <w:r>
        <w:rPr>
          <w:rFonts w:ascii="Arial" w:cs="Arial" w:eastAsia="Arial" w:hAnsi="Arial"/>
          <w:sz w:val="20"/>
          <w:szCs w:val="20"/>
        </w:rPr>
        <w:t xml:space="preserve">LINE Corporation (2024). LINE unveils map to success for modern SMEs — LINE Bootcamp Day 2024. Published by The Story Thailand.</w:t>
      </w:r>
      <w:r>
        <w:rPr>
          <w:rFonts w:ascii="Arial" w:cs="Arial" w:eastAsia="Arial" w:hAnsi="Arial"/>
        </w:rPr>
        <w:t xml:space="preserve">  </w:t>
      </w:r>
      <w:hyperlink w:history="1" r:id="rIdpefxkaxxznnjllmhaj8jz">
        <w:r>
          <w:rPr>
            <w:rStyle w:val="Hyperlink"/>
            <w:rFonts w:ascii="Arial" w:cs="Arial" w:eastAsia="Arial" w:hAnsi="Arial"/>
            <w:sz w:val="18"/>
            <w:szCs w:val="18"/>
          </w:rPr>
          <w:t xml:space="preserve">https://www.thestorythailand.com/en/line-bootcamp-day-2024/</w:t>
        </w:r>
      </w:hyperlink>
    </w:p>
    <w:p>
      <w:pPr>
        <w:spacing w:after="60" w:before="60"/>
        <w:ind w:left="360" w:hanging="360"/>
      </w:pPr>
      <w:r>
        <w:rPr>
          <w:rFonts w:ascii="Arial" w:cs="Arial" w:eastAsia="Arial" w:hAnsi="Arial"/>
          <w:b/>
          <w:bCs/>
          <w:color w:val="1A3C5E"/>
          <w:sz w:val="20"/>
          <w:szCs w:val="20"/>
        </w:rPr>
        <w:t xml:space="preserve">[14]  </w:t>
      </w:r>
      <w:r>
        <w:rPr>
          <w:rFonts w:ascii="Arial" w:cs="Arial" w:eastAsia="Arial" w:hAnsi="Arial"/>
          <w:sz w:val="20"/>
          <w:szCs w:val="20"/>
        </w:rPr>
        <w:t xml:space="preserve">TechNode Global (2023). "PH startup PetPal plans to build superapp as it targets $1.6B pet care market in Southeast Asia." October 2023.</w:t>
      </w:r>
      <w:r>
        <w:rPr>
          <w:rFonts w:ascii="Arial" w:cs="Arial" w:eastAsia="Arial" w:hAnsi="Arial"/>
        </w:rPr>
        <w:t xml:space="preserve">  </w:t>
      </w:r>
      <w:hyperlink w:history="1" r:id="rIdwfi2wnjqxzoyh1bv_mudf">
        <w:r>
          <w:rPr>
            <w:rStyle w:val="Hyperlink"/>
            <w:rFonts w:ascii="Arial" w:cs="Arial" w:eastAsia="Arial" w:hAnsi="Arial"/>
            <w:sz w:val="18"/>
            <w:szCs w:val="18"/>
          </w:rPr>
          <w:t xml:space="preserve">https://technode.global/2023/10/11/ph-startup-petpal-plans-to-build-superapp-as-it-targets-1-6b-pet-care-market-in-southeast-asia-qa/</w:t>
        </w:r>
      </w:hyperlink>
    </w:p>
    <w:p>
      <w:pPr>
        <w:spacing w:after="60" w:before="60"/>
        <w:ind w:left="360" w:hanging="360"/>
      </w:pPr>
      <w:r>
        <w:rPr>
          <w:rFonts w:ascii="Arial" w:cs="Arial" w:eastAsia="Arial" w:hAnsi="Arial"/>
          <w:b/>
          <w:bCs/>
          <w:color w:val="1A3C5E"/>
          <w:sz w:val="20"/>
          <w:szCs w:val="20"/>
        </w:rPr>
        <w:t xml:space="preserve">[15]  </w:t>
      </w:r>
      <w:r>
        <w:rPr>
          <w:rFonts w:ascii="Arial" w:cs="Arial" w:eastAsia="Arial" w:hAnsi="Arial"/>
          <w:sz w:val="20"/>
          <w:szCs w:val="20"/>
        </w:rPr>
        <w:t xml:space="preserve">Bitesize Bangkok (2024). "Brand Spotlight: PetFetch" — Thai pet marketplace profile.</w:t>
      </w:r>
      <w:r>
        <w:rPr>
          <w:rFonts w:ascii="Arial" w:cs="Arial" w:eastAsia="Arial" w:hAnsi="Arial"/>
        </w:rPr>
        <w:t xml:space="preserve">  </w:t>
      </w:r>
      <w:hyperlink w:history="1" r:id="rIdc37fqetb2e-qnqum-b0bv">
        <w:r>
          <w:rPr>
            <w:rStyle w:val="Hyperlink"/>
            <w:rFonts w:ascii="Arial" w:cs="Arial" w:eastAsia="Arial" w:hAnsi="Arial"/>
            <w:sz w:val="18"/>
            <w:szCs w:val="18"/>
          </w:rPr>
          <w:t xml:space="preserve">https://bitesizebkk.co/petfetch/</w:t>
        </w:r>
      </w:hyperlink>
    </w:p>
    <w:p>
      <w:pPr>
        <w:spacing w:after="60" w:before="60"/>
        <w:ind w:left="360" w:hanging="360"/>
      </w:pPr>
      <w:r>
        <w:rPr>
          <w:rFonts w:ascii="Arial" w:cs="Arial" w:eastAsia="Arial" w:hAnsi="Arial"/>
          <w:b/>
          <w:bCs/>
          <w:color w:val="1A3C5E"/>
          <w:sz w:val="20"/>
          <w:szCs w:val="20"/>
        </w:rPr>
        <w:t xml:space="preserve">[16]  </w:t>
      </w:r>
      <w:r>
        <w:rPr>
          <w:rFonts w:ascii="Arial" w:cs="Arial" w:eastAsia="Arial" w:hAnsi="Arial"/>
          <w:sz w:val="20"/>
          <w:szCs w:val="20"/>
        </w:rPr>
        <w:t xml:space="preserve">Bangkok Post (2024). "Digital economy seen growing 19% in 2024."</w:t>
      </w:r>
      <w:r>
        <w:rPr>
          <w:rFonts w:ascii="Arial" w:cs="Arial" w:eastAsia="Arial" w:hAnsi="Arial"/>
        </w:rPr>
        <w:t xml:space="preserve">  </w:t>
      </w:r>
      <w:hyperlink w:history="1" r:id="rIdshtcl-0zvu-eg8fv6zym0">
        <w:r>
          <w:rPr>
            <w:rStyle w:val="Hyperlink"/>
            <w:rFonts w:ascii="Arial" w:cs="Arial" w:eastAsia="Arial" w:hAnsi="Arial"/>
            <w:sz w:val="18"/>
            <w:szCs w:val="18"/>
          </w:rPr>
          <w:t xml:space="preserve">https://www.bangkokpost.com/business/general/2897723/digital-economy-seen-growing-19-in-2024</w:t>
        </w:r>
      </w:hyperlink>
    </w:p>
    <w:p>
      <w:pPr>
        <w:spacing w:after="60" w:before="60"/>
        <w:ind w:left="360" w:hanging="360"/>
      </w:pPr>
      <w:r>
        <w:rPr>
          <w:rFonts w:ascii="Arial" w:cs="Arial" w:eastAsia="Arial" w:hAnsi="Arial"/>
          <w:b/>
          <w:bCs/>
          <w:color w:val="1A3C5E"/>
          <w:sz w:val="20"/>
          <w:szCs w:val="20"/>
        </w:rPr>
        <w:t xml:space="preserve">[17]  </w:t>
      </w:r>
      <w:r>
        <w:rPr>
          <w:rFonts w:ascii="Arial" w:cs="Arial" w:eastAsia="Arial" w:hAnsi="Arial"/>
          <w:sz w:val="20"/>
          <w:szCs w:val="20"/>
        </w:rPr>
        <w:t xml:space="preserve">GlobalPETS (2024). "Pet industry in South East Asia — from pet lovers to pet parents."</w:t>
      </w:r>
      <w:r>
        <w:rPr>
          <w:rFonts w:ascii="Arial" w:cs="Arial" w:eastAsia="Arial" w:hAnsi="Arial"/>
        </w:rPr>
        <w:t xml:space="preserve">  </w:t>
      </w:r>
      <w:hyperlink w:history="1" r:id="rId6lwn-fbblur2uz3xlpkor">
        <w:r>
          <w:rPr>
            <w:rStyle w:val="Hyperlink"/>
            <w:rFonts w:ascii="Arial" w:cs="Arial" w:eastAsia="Arial" w:hAnsi="Arial"/>
            <w:sz w:val="18"/>
            <w:szCs w:val="18"/>
          </w:rPr>
          <w:t xml:space="preserve">https://globalpetindustry.com/news/pet-industry-south-east-asia-pet-lovers-pet-parents/</w:t>
        </w:r>
      </w:hyperlink>
    </w:p>
    <w:p>
      <w:pPr>
        <w:spacing w:after="60" w:before="60"/>
        <w:ind w:left="360" w:hanging="360"/>
      </w:pPr>
      <w:r>
        <w:rPr>
          <w:rFonts w:ascii="Arial" w:cs="Arial" w:eastAsia="Arial" w:hAnsi="Arial"/>
          <w:b/>
          <w:bCs/>
          <w:color w:val="1A3C5E"/>
          <w:sz w:val="20"/>
          <w:szCs w:val="20"/>
        </w:rPr>
        <w:t xml:space="preserve">[18]  </w:t>
      </w:r>
      <w:r>
        <w:rPr>
          <w:rFonts w:ascii="Arial" w:cs="Arial" w:eastAsia="Arial" w:hAnsi="Arial"/>
          <w:sz w:val="20"/>
          <w:szCs w:val="20"/>
        </w:rPr>
        <w:t xml:space="preserve">Nation Thailand (2024). "Thailand Emerges as Global Pet Food Powerhouse as Industry Eyes $5 Billion Export Target."</w:t>
      </w:r>
      <w:r>
        <w:rPr>
          <w:rFonts w:ascii="Arial" w:cs="Arial" w:eastAsia="Arial" w:hAnsi="Arial"/>
        </w:rPr>
        <w:t xml:space="preserve">  </w:t>
      </w:r>
      <w:hyperlink w:history="1" r:id="rIdxxj6qozsweerzimtdkxmc">
        <w:r>
          <w:rPr>
            <w:rStyle w:val="Hyperlink"/>
            <w:rFonts w:ascii="Arial" w:cs="Arial" w:eastAsia="Arial" w:hAnsi="Arial"/>
            <w:sz w:val="18"/>
            <w:szCs w:val="18"/>
          </w:rPr>
          <w:t xml:space="preserve">https://www.nationthailand.com/business/trade/40057485</w:t>
        </w:r>
      </w:hyperlink>
    </w:p>
    <w:p>
      <w:pPr>
        <w:spacing w:after="60" w:before="60"/>
        <w:ind w:left="360" w:hanging="360"/>
      </w:pPr>
      <w:r>
        <w:rPr>
          <w:rFonts w:ascii="Arial" w:cs="Arial" w:eastAsia="Arial" w:hAnsi="Arial"/>
          <w:b/>
          <w:bCs/>
          <w:color w:val="1A3C5E"/>
          <w:sz w:val="20"/>
          <w:szCs w:val="20"/>
        </w:rPr>
        <w:t xml:space="preserve">[19]  </w:t>
      </w:r>
      <w:r>
        <w:rPr>
          <w:rFonts w:ascii="Arial" w:cs="Arial" w:eastAsia="Arial" w:hAnsi="Arial"/>
          <w:sz w:val="20"/>
          <w:szCs w:val="20"/>
        </w:rPr>
        <w:t xml:space="preserve">Statista Market Forecast (2024). Pet Food — Thailand: market size, e-commerce penetration, online revenue data.</w:t>
      </w:r>
      <w:r>
        <w:rPr>
          <w:rFonts w:ascii="Arial" w:cs="Arial" w:eastAsia="Arial" w:hAnsi="Arial"/>
        </w:rPr>
        <w:t xml:space="preserve">  </w:t>
      </w:r>
      <w:hyperlink w:history="1" r:id="rId7ivp9jq7ql9wpmuj-ikhp">
        <w:r>
          <w:rPr>
            <w:rStyle w:val="Hyperlink"/>
            <w:rFonts w:ascii="Arial" w:cs="Arial" w:eastAsia="Arial" w:hAnsi="Arial"/>
            <w:sz w:val="18"/>
            <w:szCs w:val="18"/>
          </w:rPr>
          <w:t xml:space="preserve">https://www.statista.com/outlook/cmo/food/pet-food/thailand</w:t>
        </w:r>
      </w:hyperlink>
    </w:p>
    <w:p>
      <w:pPr>
        <w:spacing w:after="60" w:before="60"/>
        <w:ind w:left="360" w:hanging="360"/>
      </w:pPr>
      <w:r>
        <w:rPr>
          <w:rFonts w:ascii="Arial" w:cs="Arial" w:eastAsia="Arial" w:hAnsi="Arial"/>
          <w:b/>
          <w:bCs/>
          <w:color w:val="1A3C5E"/>
          <w:sz w:val="20"/>
          <w:szCs w:val="20"/>
        </w:rPr>
        <w:t xml:space="preserve">[20]  </w:t>
      </w:r>
      <w:r>
        <w:rPr>
          <w:rFonts w:ascii="Arial" w:cs="Arial" w:eastAsia="Arial" w:hAnsi="Arial"/>
          <w:sz w:val="20"/>
          <w:szCs w:val="20"/>
        </w:rPr>
        <w:t xml:space="preserve">USDA Foreign Agricultural Service (2025). Thailand's Pet Food Market 2025. GAIN Report TH2025-0029. USDA FAS, Bangkok, Thailand.</w:t>
      </w:r>
      <w:r>
        <w:rPr>
          <w:rFonts w:ascii="Arial" w:cs="Arial" w:eastAsia="Arial" w:hAnsi="Arial"/>
        </w:rPr>
        <w:t xml:space="preserve">  </w:t>
      </w:r>
      <w:hyperlink w:history="1" r:id="rId3hiww10axekkaynxrzu0o">
        <w:r>
          <w:rPr>
            <w:rStyle w:val="Hyperlink"/>
            <w:rFonts w:ascii="Arial" w:cs="Arial" w:eastAsia="Arial" w:hAnsi="Arial"/>
            <w:sz w:val="18"/>
            <w:szCs w:val="18"/>
          </w:rPr>
          <w:t xml:space="preserve">https://apps.fas.usda.gov/newgainapi/api/Report/DownloadReportByFileName?fileName=Thailand's+Pet+Food+Market+2025_Bangkok_Thailand_TH2025-0029.pdf</w:t>
        </w:r>
      </w:hyperlink>
    </w:p>
    <w:p>
      <w:pPr>
        <w:spacing w:after="160" w:before="0"/>
      </w:pPr>
      <w:r>
        <w:rPr>
          <w:rFonts w:ascii="Arial" w:cs="Arial" w:eastAsia="Arial" w:hAnsi="Arial"/>
        </w:rPr>
        <w:t xml:space="preserve"/>
      </w:r>
    </w:p>
    <w:p>
      <w:pPr>
        <w:spacing w:after="120" w:before="60"/>
      </w:pPr>
      <w:r>
        <w:rPr>
          <w:rFonts w:ascii="Arial" w:cs="Arial" w:eastAsia="Arial" w:hAnsi="Arial"/>
          <w:b/>
          <w:bCs/>
          <w:color w:val="64748B"/>
          <w:sz w:val="18"/>
          <w:szCs w:val="18"/>
        </w:rPr>
        <w:t xml:space="preserve">Disclaimer: </w:t>
      </w:r>
      <w:r>
        <w:rPr>
          <w:rFonts w:ascii="Arial" w:cs="Arial" w:eastAsia="Arial" w:hAnsi="Arial"/>
          <w:color w:val="64748B"/>
          <w:sz w:val="18"/>
          <w:szCs w:val="18"/>
        </w:rPr>
        <w:t xml:space="preserve">This market analysis was prepared for internal strategic planning purposes by the Pawtal Product Squad in March 2026. Market sizing estimates are drawn from third-party research and are subject to change. USD/THB conversions use an approximate rate of ฿36 = USD 1 (2024 average). This document is confidential and intended solely for internal use by Pawtal Co., Ltd. and its authorised stakeholders.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right"/>
    </w:pPr>
    <w:r>
      <w:rPr>
        <w:rFonts w:ascii="Arial" w:cs="Arial" w:eastAsia="Arial" w:hAnsi="Arial"/>
        <w:color w:val="64748B"/>
        <w:sz w:val="18"/>
        <w:szCs w:val="18"/>
      </w:rPr>
      <w:t xml:space="preserve">© 2026 Pawtal Co., Ltd. Bangkok, Thailand  |  Internal Use Only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ttb analytics (2024). Thailand Pet Market Annual Report 2024. Cited in: Nation Thailand, "Pet Economy on the Rise", November 2024.  </w:t>
      </w:r>
      <w:hyperlink w:history="1" r:id="rIdz66rfkazlrohuet7mvr5u">
        <w:r>
          <w:rPr>
            <w:rStyle w:val="Hyperlink"/>
            <w:rFonts w:ascii="Arial" w:cs="Arial" w:eastAsia="Arial" w:hAnsi="Arial"/>
            <w:sz w:val="18"/>
            <w:szCs w:val="18"/>
          </w:rPr>
          <w:t xml:space="preserve">https://www.nationthailand.com/blogs/business/economy/40039878</w:t>
        </w:r>
      </w:hyperlink>
    </w:p>
  </w:footnote>
  <w:footnote w:id="2">
    <w:p>
      <w:r>
        <w:rPr>
          <w:rStyle w:val="FootnoteReference"/>
        </w:rPr>
        <w:footnoteRef/>
      </w:r>
      <w:r>
        <w:rPr>
          <w:rFonts w:ascii="Arial" w:cs="Arial" w:eastAsia="Arial" w:hAnsi="Arial"/>
          <w:sz w:val="18"/>
          <w:szCs w:val="18"/>
        </w:rPr>
        <w:t xml:space="preserve">Pet Fair South-East Asia (2025). Thailand Pet Market Overview — government projections announced at Pet Fair SEA 2025.  </w:t>
      </w:r>
      <w:hyperlink w:history="1" r:id="rIdrehonlcowjkog8b4i8onm">
        <w:r>
          <w:rPr>
            <w:rStyle w:val="Hyperlink"/>
            <w:rFonts w:ascii="Arial" w:cs="Arial" w:eastAsia="Arial" w:hAnsi="Arial"/>
            <w:sz w:val="18"/>
            <w:szCs w:val="18"/>
          </w:rPr>
          <w:t xml:space="preserve">https://petfair-sea.com/asia-markets/southeast-asia-pet-market/thailand-pet-market/</w:t>
        </w:r>
      </w:hyperlink>
    </w:p>
  </w:footnote>
  <w:footnote w:id="3">
    <w:p>
      <w:r>
        <w:rPr>
          <w:rStyle w:val="FootnoteReference"/>
        </w:rPr>
        <w:footnoteRef/>
      </w:r>
      <w:r>
        <w:rPr>
          <w:rFonts w:ascii="Arial" w:cs="Arial" w:eastAsia="Arial" w:hAnsi="Arial"/>
          <w:sz w:val="18"/>
          <w:szCs w:val="18"/>
        </w:rPr>
        <w:t xml:space="preserve">ttb analytics (2024). Average annual CAGR 2019–2024. Nation Thailand, "Pet Economy on the Rise", November 2024.  </w:t>
      </w:r>
      <w:hyperlink w:history="1" r:id="rIdhzqp5xafjevzm6ejb0gvd">
        <w:r>
          <w:rPr>
            <w:rStyle w:val="Hyperlink"/>
            <w:rFonts w:ascii="Arial" w:cs="Arial" w:eastAsia="Arial" w:hAnsi="Arial"/>
            <w:sz w:val="18"/>
            <w:szCs w:val="18"/>
          </w:rPr>
          <w:t xml:space="preserve">https://www.nationthailand.com/blogs/business/economy/40039878</w:t>
        </w:r>
      </w:hyperlink>
    </w:p>
  </w:footnote>
  <w:footnote w:id="4">
    <w:p>
      <w:r>
        <w:rPr>
          <w:rStyle w:val="FootnoteReference"/>
        </w:rPr>
        <w:footnoteRef/>
      </w:r>
      <w:r>
        <w:rPr>
          <w:rFonts w:ascii="Arial" w:cs="Arial" w:eastAsia="Arial" w:hAnsi="Arial"/>
          <w:sz w:val="18"/>
          <w:szCs w:val="18"/>
        </w:rPr>
        <w:t xml:space="preserve">Kasetsart University Faculty of Veterinary Medicine (2024). Second Pet Population Survey of Thailand, Q2 2024.</w:t>
      </w:r>
    </w:p>
  </w:footnote>
  <w:footnote w:id="5">
    <w:p>
      <w:r>
        <w:rPr>
          <w:rStyle w:val="FootnoteReference"/>
        </w:rPr>
        <w:footnoteRef/>
      </w:r>
      <w:r>
        <w:rPr>
          <w:rFonts w:ascii="Arial" w:cs="Arial" w:eastAsia="Arial" w:hAnsi="Arial"/>
          <w:sz w:val="18"/>
          <w:szCs w:val="18"/>
        </w:rPr>
        <w:t xml:space="preserve">Kasikorn Research Centre (2025). Thailand Pet Industry Outlook 2025. Cited in: GlobalPETS, "The Pet Industry in Thailand", 2024.  </w:t>
      </w:r>
      <w:hyperlink w:history="1" r:id="rIdsnbh4lyvlu5esjquhgekn">
        <w:r>
          <w:rPr>
            <w:rStyle w:val="Hyperlink"/>
            <w:rFonts w:ascii="Arial" w:cs="Arial" w:eastAsia="Arial" w:hAnsi="Arial"/>
            <w:sz w:val="18"/>
            <w:szCs w:val="18"/>
          </w:rPr>
          <w:t xml:space="preserve">https://globalpetindustry.com/news/the-pet-industry-in-thailand/</w:t>
        </w:r>
      </w:hyperlink>
    </w:p>
  </w:footnote>
  <w:footnote w:id="6">
    <w:p>
      <w:r>
        <w:rPr>
          <w:rStyle w:val="FootnoteReference"/>
        </w:rPr>
        <w:footnoteRef/>
      </w:r>
      <w:r>
        <w:rPr>
          <w:rFonts w:ascii="Arial" w:cs="Arial" w:eastAsia="Arial" w:hAnsi="Arial"/>
          <w:sz w:val="18"/>
          <w:szCs w:val="18"/>
        </w:rPr>
        <w:t xml:space="preserve">Grand View Research (2024). Thailand Pet Services Market Size &amp; Outlook, 2030. Grand View Research Horizon Series.  </w:t>
      </w:r>
      <w:hyperlink w:history="1" r:id="rIdeknctbhp-kiqlftqsnsut">
        <w:r>
          <w:rPr>
            <w:rStyle w:val="Hyperlink"/>
            <w:rFonts w:ascii="Arial" w:cs="Arial" w:eastAsia="Arial" w:hAnsi="Arial"/>
            <w:sz w:val="18"/>
            <w:szCs w:val="18"/>
          </w:rPr>
          <w:t xml:space="preserve">https://www.grandviewresearch.com/horizon/outlook/pet-services-market/thailand</w:t>
        </w:r>
      </w:hyperlink>
    </w:p>
  </w:footnote>
  <w:footnote w:id="7">
    <w:p>
      <w:r>
        <w:rPr>
          <w:rStyle w:val="FootnoteReference"/>
        </w:rPr>
        <w:footnoteRef/>
      </w:r>
      <w:r>
        <w:rPr>
          <w:rFonts w:ascii="Arial" w:cs="Arial" w:eastAsia="Arial" w:hAnsi="Arial"/>
          <w:sz w:val="18"/>
          <w:szCs w:val="18"/>
        </w:rPr>
        <w:t xml:space="preserve">Grand View Research (2024). Thailand Pet Grooming Services Market Size &amp; Outlook, 2030. Grand View Research Horizon Series.  </w:t>
      </w:r>
      <w:hyperlink w:history="1" r:id="rId2xma7dyul0kfyejad9dzs">
        <w:r>
          <w:rPr>
            <w:rStyle w:val="Hyperlink"/>
            <w:rFonts w:ascii="Arial" w:cs="Arial" w:eastAsia="Arial" w:hAnsi="Arial"/>
            <w:sz w:val="18"/>
            <w:szCs w:val="18"/>
          </w:rPr>
          <w:t xml:space="preserve">https://www.grandviewresearch.com/horizon/outlook/pet-grooming-services-market/thailand</w:t>
        </w:r>
      </w:hyperlink>
    </w:p>
  </w:footnote>
  <w:footnote w:id="8">
    <w:p>
      <w:r>
        <w:rPr>
          <w:rStyle w:val="FootnoteReference"/>
        </w:rPr>
        <w:footnoteRef/>
      </w:r>
      <w:r>
        <w:rPr>
          <w:rFonts w:ascii="Arial" w:cs="Arial" w:eastAsia="Arial" w:hAnsi="Arial"/>
          <w:sz w:val="18"/>
          <w:szCs w:val="18"/>
        </w:rPr>
        <w:t xml:space="preserve">TGM Research (2024). Insights on Pet Owners in Thailand: Pet Care Survey 2024. TGM Research Proprietary Study.  </w:t>
      </w:r>
      <w:hyperlink w:history="1" r:id="rIdn8k0uakfvosawkm9i4zqn">
        <w:r>
          <w:rPr>
            <w:rStyle w:val="Hyperlink"/>
            <w:rFonts w:ascii="Arial" w:cs="Arial" w:eastAsia="Arial" w:hAnsi="Arial"/>
            <w:sz w:val="18"/>
            <w:szCs w:val="18"/>
          </w:rPr>
          <w:t xml:space="preserve">https://tgmresearch.com/pet-care-2024-insights-in-thailand.html</w:t>
        </w:r>
      </w:hyperlink>
    </w:p>
  </w:footnote>
  <w:footnote w:id="9">
    <w:p>
      <w:r>
        <w:rPr>
          <w:rStyle w:val="FootnoteReference"/>
        </w:rPr>
        <w:footnoteRef/>
      </w:r>
      <w:r>
        <w:rPr>
          <w:rFonts w:ascii="Arial" w:cs="Arial" w:eastAsia="Arial" w:hAnsi="Arial"/>
          <w:sz w:val="18"/>
          <w:szCs w:val="18"/>
        </w:rPr>
        <w:t xml:space="preserve">TGM Research (2024). Thailand Pet Humanization Insights 2024: Consumer Behavior and Trends.  </w:t>
      </w:r>
      <w:hyperlink w:history="1" r:id="rId4ehjd27uq_xnkbop2zuu8">
        <w:r>
          <w:rPr>
            <w:rStyle w:val="Hyperlink"/>
            <w:rFonts w:ascii="Arial" w:cs="Arial" w:eastAsia="Arial" w:hAnsi="Arial"/>
            <w:sz w:val="18"/>
            <w:szCs w:val="18"/>
          </w:rPr>
          <w:t xml:space="preserve">https://tgmresearch.com/pet-humanization-report-thailand.html</w:t>
        </w:r>
      </w:hyperlink>
    </w:p>
  </w:footnote>
  <w:footnote w:id="10">
    <w:p>
      <w:r>
        <w:rPr>
          <w:rStyle w:val="FootnoteReference"/>
        </w:rPr>
        <w:footnoteRef/>
      </w:r>
      <w:r>
        <w:rPr>
          <w:rFonts w:ascii="Arial" w:cs="Arial" w:eastAsia="Arial" w:hAnsi="Arial"/>
          <w:sz w:val="18"/>
          <w:szCs w:val="18"/>
        </w:rPr>
        <w:t xml:space="preserve">Nation Thailand (2024). "Pet humanisation trend playing a big role in expanding Thailand's pet market", 2024.  </w:t>
      </w:r>
      <w:hyperlink w:history="1" r:id="rIdugjdrush-6k8yyq_7qi4r">
        <w:r>
          <w:rPr>
            <w:rStyle w:val="Hyperlink"/>
            <w:rFonts w:ascii="Arial" w:cs="Arial" w:eastAsia="Arial" w:hAnsi="Arial"/>
            <w:sz w:val="18"/>
            <w:szCs w:val="18"/>
          </w:rPr>
          <w:t xml:space="preserve">https://www.nationthailand.com/blogs/business/investment/40041496</w:t>
        </w:r>
      </w:hyperlink>
    </w:p>
  </w:footnote>
  <w:footnote w:id="11">
    <w:p>
      <w:r>
        <w:rPr>
          <w:rStyle w:val="FootnoteReference"/>
        </w:rPr>
        <w:footnoteRef/>
      </w:r>
      <w:r>
        <w:rPr>
          <w:rFonts w:ascii="Arial" w:cs="Arial" w:eastAsia="Arial" w:hAnsi="Arial"/>
          <w:sz w:val="18"/>
          <w:szCs w:val="18"/>
        </w:rPr>
        <w:t xml:space="preserve">Mordor Intelligence (2024). Thailand Pet Food Market Size &amp; Share Analysis — Industry Research Report.  </w:t>
      </w:r>
      <w:hyperlink w:history="1" r:id="rIdbyxketdacajeopywumnjk">
        <w:r>
          <w:rPr>
            <w:rStyle w:val="Hyperlink"/>
            <w:rFonts w:ascii="Arial" w:cs="Arial" w:eastAsia="Arial" w:hAnsi="Arial"/>
            <w:sz w:val="18"/>
            <w:szCs w:val="18"/>
          </w:rPr>
          <w:t xml:space="preserve">https://www.mordorintelligence.com/industry-reports/thailand-pet-food-market</w:t>
        </w:r>
      </w:hyperlink>
    </w:p>
  </w:footnote>
  <w:footnote w:id="12">
    <w:p>
      <w:r>
        <w:rPr>
          <w:rStyle w:val="FootnoteReference"/>
        </w:rPr>
        <w:footnoteRef/>
      </w:r>
      <w:r>
        <w:rPr>
          <w:rFonts w:ascii="Arial" w:cs="Arial" w:eastAsia="Arial" w:hAnsi="Arial"/>
          <w:sz w:val="18"/>
          <w:szCs w:val="18"/>
        </w:rPr>
        <w:t xml:space="preserve">DataReportal / Meltwater / We Are Social (2025). Digital 2025: Thailand — Global Digital Insights, January 2025.  </w:t>
      </w:r>
      <w:hyperlink w:history="1" r:id="rIdyeh0026lds6vtuwldltqn">
        <w:r>
          <w:rPr>
            <w:rStyle w:val="Hyperlink"/>
            <w:rFonts w:ascii="Arial" w:cs="Arial" w:eastAsia="Arial" w:hAnsi="Arial"/>
            <w:sz w:val="18"/>
            <w:szCs w:val="18"/>
          </w:rPr>
          <w:t xml:space="preserve">https://datareportal.com/reports/digital-2025-thailand</w:t>
        </w:r>
      </w:hyperlink>
    </w:p>
  </w:footnote>
  <w:footnote w:id="13">
    <w:p>
      <w:r>
        <w:rPr>
          <w:rStyle w:val="FootnoteReference"/>
        </w:rPr>
        <w:footnoteRef/>
      </w:r>
      <w:r>
        <w:rPr>
          <w:rFonts w:ascii="Arial" w:cs="Arial" w:eastAsia="Arial" w:hAnsi="Arial"/>
          <w:sz w:val="18"/>
          <w:szCs w:val="18"/>
        </w:rPr>
        <w:t xml:space="preserve">LINE Corporation (2024). LINE unveils map to success for modern SMEs — LINE Bootcamp Day 2024. The Story Thailand.  </w:t>
      </w:r>
      <w:hyperlink w:history="1" r:id="rId8md-5bg4fp013iejsi2zk">
        <w:r>
          <w:rPr>
            <w:rStyle w:val="Hyperlink"/>
            <w:rFonts w:ascii="Arial" w:cs="Arial" w:eastAsia="Arial" w:hAnsi="Arial"/>
            <w:sz w:val="18"/>
            <w:szCs w:val="18"/>
          </w:rPr>
          <w:t xml:space="preserve">https://www.thestorythailand.com/en/line-bootcamp-day-2024/</w:t>
        </w:r>
      </w:hyperlink>
    </w:p>
  </w:footnote>
  <w:footnote w:id="14">
    <w:p>
      <w:r>
        <w:rPr>
          <w:rStyle w:val="FootnoteReference"/>
        </w:rPr>
        <w:footnoteRef/>
      </w:r>
      <w:r>
        <w:rPr>
          <w:rFonts w:ascii="Arial" w:cs="Arial" w:eastAsia="Arial" w:hAnsi="Arial"/>
          <w:sz w:val="18"/>
          <w:szCs w:val="18"/>
        </w:rPr>
        <w:t xml:space="preserve">TechNode Global (2023). "PH startup PetPal plans to build superapp as it targets $1.6B pet care market in Southeast Asia", October 2023.  </w:t>
      </w:r>
      <w:hyperlink w:history="1" r:id="rIdkgtqc4jmebor38z2fzvgg">
        <w:r>
          <w:rPr>
            <w:rStyle w:val="Hyperlink"/>
            <w:rFonts w:ascii="Arial" w:cs="Arial" w:eastAsia="Arial" w:hAnsi="Arial"/>
            <w:sz w:val="18"/>
            <w:szCs w:val="18"/>
          </w:rPr>
          <w:t xml:space="preserve">https://technode.global/2023/10/11/ph-startup-petpal-plans-to-build-superapp-as-it-targets-1-6b-pet-care-market-in-southeast-asia-qa/</w:t>
        </w:r>
      </w:hyperlink>
    </w:p>
  </w:footnote>
  <w:footnote w:id="15">
    <w:p>
      <w:r>
        <w:rPr>
          <w:rStyle w:val="FootnoteReference"/>
        </w:rPr>
        <w:footnoteRef/>
      </w:r>
      <w:r>
        <w:rPr>
          <w:rFonts w:ascii="Arial" w:cs="Arial" w:eastAsia="Arial" w:hAnsi="Arial"/>
          <w:sz w:val="18"/>
          <w:szCs w:val="18"/>
        </w:rPr>
        <w:t xml:space="preserve">Bitesize Bangkok (2024). "Brand Spotlight: PetFetch" — Thai pet marketplace profile, 2024.  </w:t>
      </w:r>
      <w:hyperlink w:history="1" r:id="rId_yglkwg0dzinrcrek_xqi">
        <w:r>
          <w:rPr>
            <w:rStyle w:val="Hyperlink"/>
            <w:rFonts w:ascii="Arial" w:cs="Arial" w:eastAsia="Arial" w:hAnsi="Arial"/>
            <w:sz w:val="18"/>
            <w:szCs w:val="18"/>
          </w:rPr>
          <w:t xml:space="preserve">https://bitesizebkk.co/petfetch/</w:t>
        </w:r>
      </w:hyperlink>
    </w:p>
  </w:footnote>
  <w:footnote w:id="16">
    <w:p>
      <w:r>
        <w:rPr>
          <w:rStyle w:val="FootnoteReference"/>
        </w:rPr>
        <w:footnoteRef/>
      </w:r>
      <w:r>
        <w:rPr>
          <w:rFonts w:ascii="Arial" w:cs="Arial" w:eastAsia="Arial" w:hAnsi="Arial"/>
          <w:sz w:val="18"/>
          <w:szCs w:val="18"/>
        </w:rPr>
        <w:t xml:space="preserve">Bangkok Post (2024). "Digital economy seen growing 19% in 2024." Bangkok Post, 2024.  </w:t>
      </w:r>
      <w:hyperlink w:history="1" r:id="rIdmxbye9zzvhqhlaawi4zfa">
        <w:r>
          <w:rPr>
            <w:rStyle w:val="Hyperlink"/>
            <w:rFonts w:ascii="Arial" w:cs="Arial" w:eastAsia="Arial" w:hAnsi="Arial"/>
            <w:sz w:val="18"/>
            <w:szCs w:val="18"/>
          </w:rPr>
          <w:t xml:space="preserve">https://www.bangkokpost.com/business/general/2897723/digital-economy-seen-growing-19-in-2024</w:t>
        </w:r>
      </w:hyperlink>
    </w:p>
  </w:footnote>
  <w:footnote w:id="17">
    <w:p>
      <w:r>
        <w:rPr>
          <w:rStyle w:val="FootnoteReference"/>
        </w:rPr>
        <w:footnoteRef/>
      </w:r>
      <w:r>
        <w:rPr>
          <w:rFonts w:ascii="Arial" w:cs="Arial" w:eastAsia="Arial" w:hAnsi="Arial"/>
          <w:sz w:val="18"/>
          <w:szCs w:val="18"/>
        </w:rPr>
        <w:t xml:space="preserve">GlobalPETS (2024). "Pet industry in South East Asia — from pet lovers to pet parents", 2024.  </w:t>
      </w:r>
      <w:hyperlink w:history="1" r:id="rIdvmizmbq11gcoced0csal1">
        <w:r>
          <w:rPr>
            <w:rStyle w:val="Hyperlink"/>
            <w:rFonts w:ascii="Arial" w:cs="Arial" w:eastAsia="Arial" w:hAnsi="Arial"/>
            <w:sz w:val="18"/>
            <w:szCs w:val="18"/>
          </w:rPr>
          <w:t xml:space="preserve">https://globalpetindustry.com/news/pet-industry-south-east-asia-pet-lovers-pet-parents/</w:t>
        </w:r>
      </w:hyperlink>
    </w:p>
  </w:footnote>
  <w:footnote w:id="18">
    <w:p>
      <w:r>
        <w:rPr>
          <w:rStyle w:val="FootnoteReference"/>
        </w:rPr>
        <w:footnoteRef/>
      </w:r>
      <w:r>
        <w:rPr>
          <w:rFonts w:ascii="Arial" w:cs="Arial" w:eastAsia="Arial" w:hAnsi="Arial"/>
          <w:sz w:val="18"/>
          <w:szCs w:val="18"/>
        </w:rPr>
        <w:t xml:space="preserve">Nation Thailand (2024). "Thailand Emerges as Global Pet Food Powerhouse as Industry Eyes $5 Billion Export Target", 2024.  </w:t>
      </w:r>
      <w:hyperlink w:history="1" r:id="rIdlytlsso1elfnwsw8bg-1v">
        <w:r>
          <w:rPr>
            <w:rStyle w:val="Hyperlink"/>
            <w:rFonts w:ascii="Arial" w:cs="Arial" w:eastAsia="Arial" w:hAnsi="Arial"/>
            <w:sz w:val="18"/>
            <w:szCs w:val="18"/>
          </w:rPr>
          <w:t xml:space="preserve">https://www.nationthailand.com/business/trade/40057485</w:t>
        </w:r>
      </w:hyperlink>
    </w:p>
  </w:footnote>
  <w:footnote w:id="19">
    <w:p>
      <w:r>
        <w:rPr>
          <w:rStyle w:val="FootnoteReference"/>
        </w:rPr>
        <w:footnoteRef/>
      </w:r>
      <w:r>
        <w:rPr>
          <w:rFonts w:ascii="Arial" w:cs="Arial" w:eastAsia="Arial" w:hAnsi="Arial"/>
          <w:sz w:val="18"/>
          <w:szCs w:val="18"/>
        </w:rPr>
        <w:t xml:space="preserve">Statista Market Forecast (2024). Pet Food — Thailand: e-commerce revenue and online penetration data, 2024.  </w:t>
      </w:r>
      <w:hyperlink w:history="1" r:id="rIdiithuhahgxzsjxp36a2fd">
        <w:r>
          <w:rPr>
            <w:rStyle w:val="Hyperlink"/>
            <w:rFonts w:ascii="Arial" w:cs="Arial" w:eastAsia="Arial" w:hAnsi="Arial"/>
            <w:sz w:val="18"/>
            <w:szCs w:val="18"/>
          </w:rPr>
          <w:t xml:space="preserve">https://www.statista.com/outlook/cmo/food/pet-food/thailand</w:t>
        </w:r>
      </w:hyperlink>
    </w:p>
  </w:footnote>
  <w:footnote w:id="20">
    <w:p>
      <w:r>
        <w:rPr>
          <w:rStyle w:val="FootnoteReference"/>
        </w:rPr>
        <w:footnoteRef/>
      </w:r>
      <w:r>
        <w:rPr>
          <w:rFonts w:ascii="Arial" w:cs="Arial" w:eastAsia="Arial" w:hAnsi="Arial"/>
          <w:sz w:val="18"/>
          <w:szCs w:val="18"/>
        </w:rPr>
        <w:t xml:space="preserve">USDA Foreign Agricultural Service (2025). Thailand's Pet Food Market 2025. GAIN Report TH2025-0029, Bangkok.  </w:t>
      </w:r>
      <w:hyperlink w:history="1" r:id="rIdiphraaxoazgrpio6v6r8l">
        <w:r>
          <w:rPr>
            <w:rStyle w:val="Hyperlink"/>
            <w:rFonts w:ascii="Arial" w:cs="Arial" w:eastAsia="Arial" w:hAnsi="Arial"/>
            <w:sz w:val="18"/>
            <w:szCs w:val="18"/>
          </w:rPr>
          <w:t xml:space="preserve">https://apps.fas.usda.gov/newgainapi/api/Report/DownloadReportByFileName?fileName=Thailand's+Pet+Food+Market+2025_Bangkok_Thailand_TH2025-0029.pdf</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4"/>
      </w:pBdr>
      <w:spacing w:after="60"/>
    </w:pPr>
    <w:r>
      <w:rPr>
        <w:rFonts w:ascii="Arial" w:cs="Arial" w:eastAsia="Arial" w:hAnsi="Arial"/>
        <w:b/>
        <w:bCs/>
        <w:color w:val="1A3C5E"/>
        <w:sz w:val="18"/>
        <w:szCs w:val="18"/>
      </w:rPr>
      <w:t xml:space="preserve">Pawtal — Market Analysis  </w:t>
    </w:r>
    <w:r>
      <w:rPr>
        <w:rFonts w:ascii="Arial" w:cs="Arial" w:eastAsia="Arial" w:hAnsi="Arial"/>
        <w:color w:val="64748B"/>
        <w:sz w:val="18"/>
        <w:szCs w:val="18"/>
      </w:rPr>
      <w:t xml:space="preserve">Version 2.0  |  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D73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bqsubrchv07cpce0kxil" Type="http://schemas.openxmlformats.org/officeDocument/2006/relationships/hyperlink" Target="https://www.nationthailand.com/blogs/business/economy/40039878" TargetMode="External"/><Relationship Id="rIdn17xgv2riztrtsyutfgfa" Type="http://schemas.openxmlformats.org/officeDocument/2006/relationships/hyperlink" Target="https://globalpetindustry.com/news/the-pet-industry-in-thailand/" TargetMode="External"/><Relationship Id="rIdzr_tyoizwvptm6eslml_-" Type="http://schemas.openxmlformats.org/officeDocument/2006/relationships/hyperlink" Target="https://tgmresearch.com/pet-care-2024-insights-in-thailand.html" TargetMode="External"/><Relationship Id="rIdbj02_ngo6c-jxphcuq_0-" Type="http://schemas.openxmlformats.org/officeDocument/2006/relationships/hyperlink" Target="https://bitesizebkk.co/petfetch/" TargetMode="External"/><Relationship Id="rIderlnecfjnyuyy7qcroeyf" Type="http://schemas.openxmlformats.org/officeDocument/2006/relationships/hyperlink" Target="https://technode.global/2023/10/11/ph-startup-petpal-plans-to-build-superapp-as-it-targets-1-6b-pet-care-market-in-southeast-asia-qa/" TargetMode="External"/><Relationship Id="rId8djya0zqw9k57reavcn1b" Type="http://schemas.openxmlformats.org/officeDocument/2006/relationships/hyperlink" Target="https://tracxn.com/d/explore/pet-tech-startups-in-thailand/__cNulXppI1z7912kPsp6QIF9yevMD0XnSCnrcNtIT0Us/companies" TargetMode="External"/><Relationship Id="rId9zt2b9qxdzp3wnibtsqeg" Type="http://schemas.openxmlformats.org/officeDocument/2006/relationships/hyperlink" Target="https://www.nationthailand.com/blogs/business/economy/40039878" TargetMode="External"/><Relationship Id="rIdnjxtcc410talgf-kelsim" Type="http://schemas.openxmlformats.org/officeDocument/2006/relationships/hyperlink" Target="https://petfair-sea.com/asia-markets/southeast-asia-pet-market/thailand-pet-market/" TargetMode="External"/><Relationship Id="rId-c-o6b0noermqhox0qjhi" Type="http://schemas.openxmlformats.org/officeDocument/2006/relationships/hyperlink" Target="https://www.nationthailand.com/blogs/business/economy/40039878" TargetMode="External"/><Relationship Id="rIdubct_-kcvawssfdocu3di" Type="http://schemas.openxmlformats.org/officeDocument/2006/relationships/hyperlink" Target="https://globalpetindustry.com/news/the-pet-industry-in-thailand/" TargetMode="External"/><Relationship Id="rIdlqxyqgfga7brbeluzusen" Type="http://schemas.openxmlformats.org/officeDocument/2006/relationships/hyperlink" Target="https://www.grandviewresearch.com/horizon/outlook/pet-services-market/thailand" TargetMode="External"/><Relationship Id="rIdhy5zm0e0sfemeghbcv7g0" Type="http://schemas.openxmlformats.org/officeDocument/2006/relationships/hyperlink" Target="https://www.grandviewresearch.com/horizon/outlook/pet-grooming-services-market/thailand" TargetMode="External"/><Relationship Id="rId2rx6vkrnvytoztslalme5" Type="http://schemas.openxmlformats.org/officeDocument/2006/relationships/hyperlink" Target="https://tgmresearch.com/pet-care-2024-insights-in-thailand.html" TargetMode="External"/><Relationship Id="rId1qfw9jcxgsy47wbzr7d9f" Type="http://schemas.openxmlformats.org/officeDocument/2006/relationships/hyperlink" Target="https://tgmresearch.com/pet-humanization-report-thailand.html" TargetMode="External"/><Relationship Id="rIdahyk7dkywemicra-cwjnx" Type="http://schemas.openxmlformats.org/officeDocument/2006/relationships/hyperlink" Target="https://www.nationthailand.com/blogs/business/investment/40041496" TargetMode="External"/><Relationship Id="rIdrkah-jjco0hypjbhlymrp" Type="http://schemas.openxmlformats.org/officeDocument/2006/relationships/hyperlink" Target="https://www.mordorintelligence.com/industry-reports/thailand-pet-food-market" TargetMode="External"/><Relationship Id="rIdb94cbnmi0jd6rxsrn1l07" Type="http://schemas.openxmlformats.org/officeDocument/2006/relationships/hyperlink" Target="https://datareportal.com/reports/digital-2025-thailand" TargetMode="External"/><Relationship Id="rIdpefxkaxxznnjllmhaj8jz" Type="http://schemas.openxmlformats.org/officeDocument/2006/relationships/hyperlink" Target="https://www.thestorythailand.com/en/line-bootcamp-day-2024/" TargetMode="External"/><Relationship Id="rIdwfi2wnjqxzoyh1bv_mudf" Type="http://schemas.openxmlformats.org/officeDocument/2006/relationships/hyperlink" Target="https://technode.global/2023/10/11/ph-startup-petpal-plans-to-build-superapp-as-it-targets-1-6b-pet-care-market-in-southeast-asia-qa/" TargetMode="External"/><Relationship Id="rIdc37fqetb2e-qnqum-b0bv" Type="http://schemas.openxmlformats.org/officeDocument/2006/relationships/hyperlink" Target="https://bitesizebkk.co/petfetch/" TargetMode="External"/><Relationship Id="rIdshtcl-0zvu-eg8fv6zym0" Type="http://schemas.openxmlformats.org/officeDocument/2006/relationships/hyperlink" Target="https://www.bangkokpost.com/business/general/2897723/digital-economy-seen-growing-19-in-2024" TargetMode="External"/><Relationship Id="rId6lwn-fbblur2uz3xlpkor" Type="http://schemas.openxmlformats.org/officeDocument/2006/relationships/hyperlink" Target="https://globalpetindustry.com/news/pet-industry-south-east-asia-pet-lovers-pet-parents/" TargetMode="External"/><Relationship Id="rIdxxj6qozsweerzimtdkxmc" Type="http://schemas.openxmlformats.org/officeDocument/2006/relationships/hyperlink" Target="https://www.nationthailand.com/business/trade/40057485" TargetMode="External"/><Relationship Id="rId7ivp9jq7ql9wpmuj-ikhp" Type="http://schemas.openxmlformats.org/officeDocument/2006/relationships/hyperlink" Target="https://www.statista.com/outlook/cmo/food/pet-food/thailand" TargetMode="External"/><Relationship Id="rId3hiww10axekkaynxrzu0o" Type="http://schemas.openxmlformats.org/officeDocument/2006/relationships/hyperlink" Target="https://apps.fas.usda.gov/newgainapi/api/Report/DownloadReportByFileName?fileName=Thailand&apos;s+Pet+Food+Market+2025_Bangkok_Thailand_TH2025-0029.pdf"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Relationship Id="rIdz66rfkazlrohuet7mvr5u" Type="http://schemas.openxmlformats.org/officeDocument/2006/relationships/hyperlink" Target="https://www.nationthailand.com/blogs/business/economy/40039878" TargetMode="External"/><Relationship Id="rIdrehonlcowjkog8b4i8onm" Type="http://schemas.openxmlformats.org/officeDocument/2006/relationships/hyperlink" Target="https://petfair-sea.com/asia-markets/southeast-asia-pet-market/thailand-pet-market/" TargetMode="External"/><Relationship Id="rIdhzqp5xafjevzm6ejb0gvd" Type="http://schemas.openxmlformats.org/officeDocument/2006/relationships/hyperlink" Target="https://www.nationthailand.com/blogs/business/economy/40039878" TargetMode="External"/><Relationship Id="rIdsnbh4lyvlu5esjquhgekn" Type="http://schemas.openxmlformats.org/officeDocument/2006/relationships/hyperlink" Target="https://globalpetindustry.com/news/the-pet-industry-in-thailand/" TargetMode="External"/><Relationship Id="rIdeknctbhp-kiqlftqsnsut" Type="http://schemas.openxmlformats.org/officeDocument/2006/relationships/hyperlink" Target="https://www.grandviewresearch.com/horizon/outlook/pet-services-market/thailand" TargetMode="External"/><Relationship Id="rId2xma7dyul0kfyejad9dzs" Type="http://schemas.openxmlformats.org/officeDocument/2006/relationships/hyperlink" Target="https://www.grandviewresearch.com/horizon/outlook/pet-grooming-services-market/thailand" TargetMode="External"/><Relationship Id="rIdn8k0uakfvosawkm9i4zqn" Type="http://schemas.openxmlformats.org/officeDocument/2006/relationships/hyperlink" Target="https://tgmresearch.com/pet-care-2024-insights-in-thailand.html" TargetMode="External"/><Relationship Id="rId4ehjd27uq_xnkbop2zuu8" Type="http://schemas.openxmlformats.org/officeDocument/2006/relationships/hyperlink" Target="https://tgmresearch.com/pet-humanization-report-thailand.html" TargetMode="External"/><Relationship Id="rIdugjdrush-6k8yyq_7qi4r" Type="http://schemas.openxmlformats.org/officeDocument/2006/relationships/hyperlink" Target="https://www.nationthailand.com/blogs/business/investment/40041496" TargetMode="External"/><Relationship Id="rIdbyxketdacajeopywumnjk" Type="http://schemas.openxmlformats.org/officeDocument/2006/relationships/hyperlink" Target="https://www.mordorintelligence.com/industry-reports/thailand-pet-food-market" TargetMode="External"/><Relationship Id="rIdyeh0026lds6vtuwldltqn" Type="http://schemas.openxmlformats.org/officeDocument/2006/relationships/hyperlink" Target="https://datareportal.com/reports/digital-2025-thailand" TargetMode="External"/><Relationship Id="rId8md-5bg4fp013iejsi2zk" Type="http://schemas.openxmlformats.org/officeDocument/2006/relationships/hyperlink" Target="https://www.thestorythailand.com/en/line-bootcamp-day-2024/" TargetMode="External"/><Relationship Id="rIdkgtqc4jmebor38z2fzvgg" Type="http://schemas.openxmlformats.org/officeDocument/2006/relationships/hyperlink" Target="https://technode.global/2023/10/11/ph-startup-petpal-plans-to-build-superapp-as-it-targets-1-6b-pet-care-market-in-southeast-asia-qa/" TargetMode="External"/><Relationship Id="rId_yglkwg0dzinrcrek_xqi" Type="http://schemas.openxmlformats.org/officeDocument/2006/relationships/hyperlink" Target="https://bitesizebkk.co/petfetch/" TargetMode="External"/><Relationship Id="rIdmxbye9zzvhqhlaawi4zfa" Type="http://schemas.openxmlformats.org/officeDocument/2006/relationships/hyperlink" Target="https://www.bangkokpost.com/business/general/2897723/digital-economy-seen-growing-19-in-2024" TargetMode="External"/><Relationship Id="rIdvmizmbq11gcoced0csal1" Type="http://schemas.openxmlformats.org/officeDocument/2006/relationships/hyperlink" Target="https://globalpetindustry.com/news/pet-industry-south-east-asia-pet-lovers-pet-parents/" TargetMode="External"/><Relationship Id="rIdlytlsso1elfnwsw8bg-1v" Type="http://schemas.openxmlformats.org/officeDocument/2006/relationships/hyperlink" Target="https://www.nationthailand.com/business/trade/40057485" TargetMode="External"/><Relationship Id="rIdiithuhahgxzsjxp36a2fd" Type="http://schemas.openxmlformats.org/officeDocument/2006/relationships/hyperlink" Target="https://www.statista.com/outlook/cmo/food/pet-food/thailand" TargetMode="External"/><Relationship Id="rIdiphraaxoazgrpio6v6r8l" Type="http://schemas.openxmlformats.org/officeDocument/2006/relationships/hyperlink" Target="https://apps.fas.usda.gov/newgainapi/api/Report/DownloadReportByFileName?fileName=Thailand&apos;s+Pet+Food+Market+2025_Bangkok_Thailand_TH2025-0029.pdf" TargetMode="External"/></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2026-03-19T12:57:46.893Z</dcterms:created>
  <dcterms:modified xsi:type="dcterms:W3CDTF">2026-03-19T12:57:46.893Z</dcterms:modified>
</cp:coreProperties>
</file>

<file path=docProps/custom.xml><?xml version="1.0" encoding="utf-8"?>
<Properties xmlns="http://schemas.openxmlformats.org/officeDocument/2006/custom-properties" xmlns:vt="http://schemas.openxmlformats.org/officeDocument/2006/docPropsVTypes"/>
</file>