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jc w:val="center"/>
      </w:pPr>
      <w:r>
        <w:rPr>
          <w:rFonts w:ascii="Segoe UI Emoji" w:cs="Segoe UI Emoji" w:eastAsia="Segoe UI Emoji" w:hAnsi="Segoe UI Emoji"/>
          <w:sz w:val="80"/>
          <w:szCs w:val="80"/>
        </w:rPr>
        <w:t xml:space="preserve">🐾</w:t>
      </w:r>
    </w:p>
    <w:p>
      <w:pPr>
        <w:spacing w:after="120" w:before="0"/>
        <w:jc w:val="center"/>
      </w:pPr>
      <w:r>
        <w:rPr>
          <w:rFonts w:ascii="Arial" w:cs="Arial" w:eastAsia="Arial" w:hAnsi="Arial"/>
          <w:b/>
          <w:bCs/>
          <w:color w:val="1A3C5E"/>
          <w:sz w:val="72"/>
          <w:szCs w:val="72"/>
        </w:rPr>
        <w:t xml:space="preserve">PAWTAL</w:t>
      </w:r>
    </w:p>
    <w:p>
      <w:pPr>
        <w:spacing w:after="200" w:before="0"/>
        <w:jc w:val="center"/>
      </w:pPr>
      <w:r>
        <w:rPr>
          <w:rFonts w:ascii="Arial" w:cs="Arial" w:eastAsia="Arial" w:hAnsi="Arial"/>
          <w:color w:val="0D7377"/>
          <w:sz w:val="40"/>
          <w:szCs w:val="40"/>
        </w:rPr>
        <w:t xml:space="preserve">Market Analysis</w:t>
      </w:r>
    </w:p>
    <w:p>
      <w:pPr>
        <w:spacing w:after="80" w:before="0"/>
        <w:jc w:val="center"/>
      </w:pPr>
      <w:r>
        <w:rPr>
          <w:rFonts w:ascii="Arial" w:cs="Arial" w:eastAsia="Arial" w:hAnsi="Arial"/>
          <w:i/>
          <w:iCs/>
          <w:color w:val="555555"/>
          <w:sz w:val="28"/>
          <w:szCs w:val="28"/>
        </w:rPr>
        <w:t xml:space="preserve">Thailand Pet Service Marketplace</w:t>
      </w:r>
    </w:p>
    <w:p>
      <w:pPr>
        <w:spacing w:after="400" w:before="400"/>
      </w:pPr>
    </w:p>
    <w:p>
      <w:r>
        <w:br w:type="page"/>
      </w:r>
    </w:p>
    <w:p>
      <w:pPr>
        <w:pStyle w:val="Heading1"/>
        <w:pBdr>
          <w:bottom w:val="single" w:color="1A3C5E" w:sz="4" w:space="4"/>
        </w:pBdr>
        <w:spacing w:after="200" w:before="480"/>
      </w:pPr>
      <w:r>
        <w:rPr>
          <w:rFonts w:ascii="Arial" w:cs="Arial" w:eastAsia="Arial" w:hAnsi="Arial"/>
          <w:b/>
          <w:bCs/>
          <w:color w:val="1A3C5E"/>
          <w:sz w:val="36"/>
          <w:szCs w:val="36"/>
        </w:rPr>
        <w:t xml:space="preserve">1. Executive Summary</w:t>
      </w:r>
    </w:p>
    <w:p>
      <w:pPr>
        <w:spacing w:after="80" w:before="80" w:line="320"/>
      </w:pPr>
      <w:r>
        <w:rPr>
          <w:rFonts w:ascii="Arial" w:cs="Arial" w:eastAsia="Arial" w:hAnsi="Arial"/>
          <w:color w:val="1A1A2E"/>
          <w:sz w:val="22"/>
          <w:szCs w:val="22"/>
        </w:rPr>
        <w:t xml:space="preserve">Thailand is experiencing a structural shift in attitudes toward pet ownership — pets are increasingly treated as family members, driving significant growth in premium pet care services. Bangkok, as the country’s largest urban centre with over 10 million residents, sits at the epicentre of this trend.</w:t>
      </w:r>
    </w:p>
    <w:p>
      <w:pPr>
        <w:spacing w:after="80" w:before="80"/>
      </w:pPr>
    </w:p>
    <w:p>
      <w:pPr>
        <w:spacing w:after="80" w:before="80" w:line="320"/>
      </w:pPr>
      <w:r>
        <w:rPr>
          <w:rFonts w:ascii="Arial" w:cs="Arial" w:eastAsia="Arial" w:hAnsi="Arial"/>
          <w:color w:val="1A1A2E"/>
          <w:sz w:val="22"/>
          <w:szCs w:val="22"/>
        </w:rPr>
        <w:t xml:space="preserve">Pawtal is a B2B2C pet service marketplace positioned to capture this growth. For MVP#1, Pawtal focuses exclusively on acquiring pet service providers through a dedicated landing page and B2B outreach, targeting the Sukhumvit corridor of Bangkok as its launch market.</w:t>
      </w:r>
    </w:p>
    <w:p>
      <w:pPr>
        <w:spacing w:after="80" w:before="80"/>
      </w:pPr>
    </w:p>
    <w:p>
      <w:pPr>
        <w:spacing w:after="80" w:before="80" w:line="320"/>
      </w:pPr>
      <w:r>
        <w:rPr>
          <w:rFonts w:ascii="Arial" w:cs="Arial" w:eastAsia="Arial" w:hAnsi="Arial"/>
          <w:color w:val="1A1A2E"/>
          <w:sz w:val="22"/>
          <w:szCs w:val="22"/>
        </w:rPr>
        <w:t xml:space="preserve">Key findings from this analysis:</w:t>
      </w:r>
    </w:p>
    <w:p>
      <w:pPr>
        <w:pStyle w:val="ListParagraph"/>
        <w:numPr>
          <w:ilvl w:val="0"/>
          <w:numId w:val="2"/>
        </w:numPr>
        <w:spacing w:after="40" w:before="40"/>
      </w:pPr>
      <w:r>
        <w:rPr>
          <w:rFonts w:ascii="Arial" w:cs="Arial" w:eastAsia="Arial" w:hAnsi="Arial"/>
          <w:color w:val="1A1A2E"/>
          <w:sz w:val="22"/>
          <w:szCs w:val="22"/>
        </w:rPr>
        <w:t xml:space="preserve">Thailand’s pet market is valued at ~THB 60–70 billion (2025) and growing at 8–10% CAGR, driven by premiumisation and rising urban pet ownership.</w:t>
      </w:r>
    </w:p>
    <w:p>
      <w:pPr>
        <w:pStyle w:val="ListParagraph"/>
        <w:numPr>
          <w:ilvl w:val="0"/>
          <w:numId w:val="2"/>
        </w:numPr>
        <w:spacing w:after="40" w:before="40"/>
      </w:pPr>
      <w:r>
        <w:rPr>
          <w:rFonts w:ascii="Arial" w:cs="Arial" w:eastAsia="Arial" w:hAnsi="Arial"/>
          <w:color w:val="1A1A2E"/>
          <w:sz w:val="22"/>
          <w:szCs w:val="22"/>
        </w:rPr>
        <w:t xml:space="preserve">Pet grooming and care services represent a ~THB 8–12 billion segment within Bangkok, with limited digital penetration — primarily booked via LINE and Facebook.</w:t>
      </w:r>
    </w:p>
    <w:p>
      <w:pPr>
        <w:pStyle w:val="ListParagraph"/>
        <w:numPr>
          <w:ilvl w:val="0"/>
          <w:numId w:val="2"/>
        </w:numPr>
        <w:spacing w:after="40" w:before="40"/>
      </w:pPr>
      <w:r>
        <w:rPr>
          <w:rFonts w:ascii="Arial" w:cs="Arial" w:eastAsia="Arial" w:hAnsi="Arial"/>
          <w:color w:val="1A1A2E"/>
          <w:sz w:val="22"/>
          <w:szCs w:val="22"/>
        </w:rPr>
        <w:t xml:space="preserve">No dominant platform has established itself in Thailand for end-to-end pet service booking, representing a clear white space for Pawtal.</w:t>
      </w:r>
    </w:p>
    <w:p>
      <w:pPr>
        <w:pStyle w:val="ListParagraph"/>
        <w:numPr>
          <w:ilvl w:val="0"/>
          <w:numId w:val="2"/>
        </w:numPr>
        <w:spacing w:after="40" w:before="40"/>
      </w:pPr>
      <w:r>
        <w:rPr>
          <w:rFonts w:ascii="Arial" w:cs="Arial" w:eastAsia="Arial" w:hAnsi="Arial"/>
          <w:color w:val="1A1A2E"/>
          <w:sz w:val="22"/>
          <w:szCs w:val="22"/>
        </w:rPr>
        <w:t xml:space="preserve">Pet service providers — independent groomers, mobile vans, and small salons — are underserved by existing tools and actively seeking ways to grow their client base digitally.</w:t>
      </w:r>
    </w:p>
    <w:p>
      <w:pPr>
        <w:pStyle w:val="ListParagraph"/>
        <w:numPr>
          <w:ilvl w:val="0"/>
          <w:numId w:val="2"/>
        </w:numPr>
        <w:spacing w:after="40" w:before="40"/>
      </w:pPr>
      <w:r>
        <w:rPr>
          <w:rFonts w:ascii="Arial" w:cs="Arial" w:eastAsia="Arial" w:hAnsi="Arial"/>
          <w:color w:val="1A1A2E"/>
          <w:sz w:val="22"/>
          <w:szCs w:val="22"/>
        </w:rPr>
        <w:t xml:space="preserve">Sukhumvit is the ideal launch corridor: highest density of urban pet owners, premium spending power, and greatest concentration of professional pet groomers.</w:t>
      </w:r>
    </w:p>
    <w:p>
      <w:pPr>
        <w:spacing w:after="80" w:before="160"/>
      </w:pPr>
    </w:p>
    <w:p>
      <w:pPr>
        <w:pBdr>
          <w:left w:val="single" w:color="1A3C5E" w:sz="12" w:space="8"/>
        </w:pBdr>
        <w:shd w:fill="E8F0F7" w:val="clear"/>
        <w:spacing w:after="60" w:before="60" w:line="320"/>
        <w:ind w:left="200"/>
      </w:pPr>
      <w:r>
        <w:rPr>
          <w:rFonts w:ascii="Arial" w:cs="Arial" w:eastAsia="Arial" w:hAnsi="Arial"/>
          <w:color w:val="1A1A2E"/>
          <w:sz w:val="20"/>
          <w:szCs w:val="20"/>
        </w:rPr>
        <w:t xml:space="preserve">Strategic Recommendation: Prioritise provider acquisition first. Build trust with service providers before opening to customers. A well-stocked marketplace with verified, high-quality providers is the critical foundation for customer trust and retention.</w:t>
      </w:r>
    </w:p>
    <w:p>
      <w:r>
        <w:br w:type="page"/>
      </w:r>
    </w:p>
    <w:p>
      <w:pPr>
        <w:pStyle w:val="Heading1"/>
        <w:pBdr>
          <w:bottom w:val="single" w:color="1A3C5E" w:sz="4" w:space="4"/>
        </w:pBdr>
        <w:spacing w:after="200" w:before="480"/>
      </w:pPr>
      <w:r>
        <w:rPr>
          <w:rFonts w:ascii="Arial" w:cs="Arial" w:eastAsia="Arial" w:hAnsi="Arial"/>
          <w:b/>
          <w:bCs/>
          <w:color w:val="1A3C5E"/>
          <w:sz w:val="36"/>
          <w:szCs w:val="36"/>
        </w:rPr>
        <w:t xml:space="preserve">2. Industry Overview</w:t>
      </w:r>
    </w:p>
    <w:p>
      <w:pPr>
        <w:pStyle w:val="Heading2"/>
        <w:spacing w:after="120" w:before="320"/>
      </w:pPr>
      <w:r>
        <w:rPr>
          <w:rFonts w:ascii="Arial" w:cs="Arial" w:eastAsia="Arial" w:hAnsi="Arial"/>
          <w:b/>
          <w:bCs/>
          <w:color w:val="0D7377"/>
          <w:sz w:val="28"/>
          <w:szCs w:val="28"/>
        </w:rPr>
        <w:t xml:space="preserve">2.1 Thailand Pet Market</w:t>
      </w:r>
    </w:p>
    <w:p>
      <w:pPr>
        <w:spacing w:after="80" w:before="80" w:line="320"/>
      </w:pPr>
      <w:r>
        <w:rPr>
          <w:rFonts w:ascii="Arial" w:cs="Arial" w:eastAsia="Arial" w:hAnsi="Arial"/>
          <w:color w:val="1A1A2E"/>
          <w:sz w:val="22"/>
          <w:szCs w:val="22"/>
        </w:rPr>
        <w:t xml:space="preserve">Thailand’s pet industry has grown consistently over the past decade, accelerating post-COVID as urban residents adopted pets during lockdowns and humanisation trends deepened. Key macro indicators include:</w:t>
      </w:r>
    </w:p>
    <w:p>
      <w:pPr>
        <w:spacing w:after="4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0D8E0" w:sz="1"/>
              <w:left w:val="single" w:color="D0D8E0" w:sz="1"/>
              <w:bottom w:val="single" w:color="D0D8E0" w:sz="1"/>
              <w:right w:val="single" w:color="D0D8E0"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Indicator</w:t>
            </w:r>
          </w:p>
        </w:tc>
        <w:tc>
          <w:tcPr>
            <w:tcW w:type="dxa" w:w="4680"/>
            <w:tcBorders>
              <w:top w:val="single" w:color="D0D8E0" w:sz="1"/>
              <w:left w:val="single" w:color="D0D8E0" w:sz="1"/>
              <w:bottom w:val="single" w:color="D0D8E0" w:sz="1"/>
              <w:right w:val="single" w:color="D0D8E0"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Estimate / Source</w:t>
            </w:r>
          </w:p>
        </w:tc>
      </w:tr>
      <w:tr>
        <w:tc>
          <w:tcPr>
            <w:tcW w:type="dxa" w:w="468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color w:val="1A1A2E"/>
                <w:sz w:val="20"/>
                <w:szCs w:val="20"/>
              </w:rPr>
              <w:t xml:space="preserve">Total pet market size (Thailand)</w:t>
            </w:r>
          </w:p>
        </w:tc>
        <w:tc>
          <w:tcPr>
            <w:tcW w:type="dxa" w:w="468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color w:val="1A1A2E"/>
                <w:sz w:val="20"/>
                <w:szCs w:val="20"/>
              </w:rPr>
              <w:t xml:space="preserve">~THB 60–70 billion (2025, estimated)</w:t>
            </w:r>
          </w:p>
        </w:tc>
      </w:tr>
      <w:tr>
        <w:tc>
          <w:tcPr>
            <w:tcW w:type="dxa" w:w="468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color w:val="1A1A2E"/>
                <w:sz w:val="20"/>
                <w:szCs w:val="20"/>
              </w:rPr>
              <w:t xml:space="preserve">Market CAGR (2021–2026)</w:t>
            </w:r>
          </w:p>
        </w:tc>
        <w:tc>
          <w:tcPr>
            <w:tcW w:type="dxa" w:w="468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color w:val="1A1A2E"/>
                <w:sz w:val="20"/>
                <w:szCs w:val="20"/>
              </w:rPr>
              <w:t xml:space="preserve">8–10% annually</w:t>
            </w:r>
          </w:p>
        </w:tc>
      </w:tr>
      <w:tr>
        <w:tc>
          <w:tcPr>
            <w:tcW w:type="dxa" w:w="468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color w:val="1A1A2E"/>
                <w:sz w:val="20"/>
                <w:szCs w:val="20"/>
              </w:rPr>
              <w:t xml:space="preserve">Pet-owning households (Thailand)</w:t>
            </w:r>
          </w:p>
        </w:tc>
        <w:tc>
          <w:tcPr>
            <w:tcW w:type="dxa" w:w="468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color w:val="1A1A2E"/>
                <w:sz w:val="20"/>
                <w:szCs w:val="20"/>
              </w:rPr>
              <w:t xml:space="preserve">~10–12 million households</w:t>
            </w:r>
          </w:p>
        </w:tc>
      </w:tr>
      <w:tr>
        <w:tc>
          <w:tcPr>
            <w:tcW w:type="dxa" w:w="468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color w:val="1A1A2E"/>
                <w:sz w:val="20"/>
                <w:szCs w:val="20"/>
              </w:rPr>
              <w:t xml:space="preserve">Pet population (dogs + cats)</w:t>
            </w:r>
          </w:p>
        </w:tc>
        <w:tc>
          <w:tcPr>
            <w:tcW w:type="dxa" w:w="468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color w:val="1A1A2E"/>
                <w:sz w:val="20"/>
                <w:szCs w:val="20"/>
              </w:rPr>
              <w:t xml:space="preserve">~17–20 million</w:t>
            </w:r>
          </w:p>
        </w:tc>
      </w:tr>
      <w:tr>
        <w:tc>
          <w:tcPr>
            <w:tcW w:type="dxa" w:w="468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color w:val="1A1A2E"/>
                <w:sz w:val="20"/>
                <w:szCs w:val="20"/>
              </w:rPr>
              <w:t xml:space="preserve">Bangkok pet-owning households</w:t>
            </w:r>
          </w:p>
        </w:tc>
        <w:tc>
          <w:tcPr>
            <w:tcW w:type="dxa" w:w="468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color w:val="1A1A2E"/>
                <w:sz w:val="20"/>
                <w:szCs w:val="20"/>
              </w:rPr>
              <w:t xml:space="preserve">~1.8–2.2 million (est.)</w:t>
            </w:r>
          </w:p>
        </w:tc>
      </w:tr>
      <w:tr>
        <w:tc>
          <w:tcPr>
            <w:tcW w:type="dxa" w:w="468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color w:val="1A1A2E"/>
                <w:sz w:val="20"/>
                <w:szCs w:val="20"/>
              </w:rPr>
              <w:t xml:space="preserve">Premium pet care spend growth</w:t>
            </w:r>
          </w:p>
        </w:tc>
        <w:tc>
          <w:tcPr>
            <w:tcW w:type="dxa" w:w="468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color w:val="1A1A2E"/>
                <w:sz w:val="20"/>
                <w:szCs w:val="20"/>
              </w:rPr>
              <w:t xml:space="preserve">&gt;15% YoY in Bangkok (est.)</w:t>
            </w:r>
          </w:p>
        </w:tc>
      </w:tr>
    </w:tbl>
    <w:p>
      <w:pPr>
        <w:spacing w:after="80" w:before="120"/>
      </w:pPr>
    </w:p>
    <w:p>
      <w:pPr>
        <w:spacing w:after="80" w:before="80" w:line="320"/>
      </w:pPr>
      <w:r>
        <w:rPr>
          <w:rFonts w:ascii="Arial" w:cs="Arial" w:eastAsia="Arial" w:hAnsi="Arial"/>
          <w:i/>
          <w:iCs/>
          <w:color w:val="888888"/>
          <w:sz w:val="18"/>
          <w:szCs w:val="18"/>
        </w:rPr>
        <w:t xml:space="preserve">Note: Market sizing figures are estimates based on industry benchmarks and available reports. Figures should be validated with Euromonitor, Mintel, or equivalent research prior to investor presentations.</w:t>
      </w:r>
    </w:p>
    <w:p>
      <w:pPr>
        <w:pStyle w:val="Heading2"/>
        <w:spacing w:after="120" w:before="320"/>
      </w:pPr>
      <w:r>
        <w:rPr>
          <w:rFonts w:ascii="Arial" w:cs="Arial" w:eastAsia="Arial" w:hAnsi="Arial"/>
          <w:b/>
          <w:bCs/>
          <w:color w:val="0D7377"/>
          <w:sz w:val="28"/>
          <w:szCs w:val="28"/>
        </w:rPr>
        <w:t xml:space="preserve">2.2 Digital Adoption in Pet Services</w:t>
      </w:r>
    </w:p>
    <w:p>
      <w:pPr>
        <w:spacing w:after="80" w:before="80" w:line="320"/>
      </w:pPr>
      <w:r>
        <w:rPr>
          <w:rFonts w:ascii="Arial" w:cs="Arial" w:eastAsia="Arial" w:hAnsi="Arial"/>
          <w:color w:val="1A1A2E"/>
          <w:sz w:val="22"/>
          <w:szCs w:val="22"/>
        </w:rPr>
        <w:t xml:space="preserve">Despite overall digital maturity in Bangkok, the pet services booking process remains largely offline or semi-digital:</w:t>
      </w:r>
    </w:p>
    <w:p>
      <w:pPr>
        <w:pStyle w:val="ListParagraph"/>
        <w:numPr>
          <w:ilvl w:val="0"/>
          <w:numId w:val="2"/>
        </w:numPr>
        <w:spacing w:after="40" w:before="40"/>
      </w:pPr>
      <w:r>
        <w:rPr>
          <w:rFonts w:ascii="Arial" w:cs="Arial" w:eastAsia="Arial" w:hAnsi="Arial"/>
          <w:color w:val="1A1A2E"/>
          <w:sz w:val="22"/>
          <w:szCs w:val="22"/>
        </w:rPr>
        <w:t xml:space="preserve">~70% of pet grooming appointments in Bangkok are booked via LINE Official Account or direct phone call (estimated from provider interviews and social media research).</w:t>
      </w:r>
    </w:p>
    <w:p>
      <w:pPr>
        <w:pStyle w:val="ListParagraph"/>
        <w:numPr>
          <w:ilvl w:val="0"/>
          <w:numId w:val="2"/>
        </w:numPr>
        <w:spacing w:after="40" w:before="40"/>
      </w:pPr>
      <w:r>
        <w:rPr>
          <w:rFonts w:ascii="Arial" w:cs="Arial" w:eastAsia="Arial" w:hAnsi="Arial"/>
          <w:color w:val="1A1A2E"/>
          <w:sz w:val="22"/>
          <w:szCs w:val="22"/>
        </w:rPr>
        <w:t xml:space="preserve">Facebook Groups and Instagram are the primary discovery channels for new customers finding pet groomers.</w:t>
      </w:r>
    </w:p>
    <w:p>
      <w:pPr>
        <w:pStyle w:val="ListParagraph"/>
        <w:numPr>
          <w:ilvl w:val="0"/>
          <w:numId w:val="2"/>
        </w:numPr>
        <w:spacing w:after="40" w:before="40"/>
      </w:pPr>
      <w:r>
        <w:rPr>
          <w:rFonts w:ascii="Arial" w:cs="Arial" w:eastAsia="Arial" w:hAnsi="Arial"/>
          <w:color w:val="1A1A2E"/>
          <w:sz w:val="22"/>
          <w:szCs w:val="22"/>
        </w:rPr>
        <w:t xml:space="preserve">No single app commands significant market share for pet service booking in Thailand.</w:t>
      </w:r>
    </w:p>
    <w:p>
      <w:pPr>
        <w:pStyle w:val="ListParagraph"/>
        <w:numPr>
          <w:ilvl w:val="0"/>
          <w:numId w:val="2"/>
        </w:numPr>
        <w:spacing w:after="40" w:before="40"/>
      </w:pPr>
      <w:r>
        <w:rPr>
          <w:rFonts w:ascii="Arial" w:cs="Arial" w:eastAsia="Arial" w:hAnsi="Arial"/>
          <w:color w:val="1A1A2E"/>
          <w:sz w:val="22"/>
          <w:szCs w:val="22"/>
        </w:rPr>
        <w:t xml:space="preserve">QR code payment (PromptPay) is near-universal among service providers — a key insight for payment UX design.</w:t>
      </w:r>
    </w:p>
    <w:p>
      <w:pPr>
        <w:pStyle w:val="Heading2"/>
        <w:spacing w:after="120" w:before="320"/>
      </w:pPr>
      <w:r>
        <w:rPr>
          <w:rFonts w:ascii="Arial" w:cs="Arial" w:eastAsia="Arial" w:hAnsi="Arial"/>
          <w:b/>
          <w:bCs/>
          <w:color w:val="0D7377"/>
          <w:sz w:val="28"/>
          <w:szCs w:val="28"/>
        </w:rPr>
        <w:t xml:space="preserve">2.3 Post-COVID Pet Ownership Trends</w:t>
      </w:r>
    </w:p>
    <w:p>
      <w:pPr>
        <w:spacing w:after="80" w:before="80" w:line="320"/>
      </w:pPr>
      <w:r>
        <w:rPr>
          <w:rFonts w:ascii="Arial" w:cs="Arial" w:eastAsia="Arial" w:hAnsi="Arial"/>
          <w:color w:val="1A1A2E"/>
          <w:sz w:val="22"/>
          <w:szCs w:val="22"/>
        </w:rPr>
        <w:t xml:space="preserve">The pandemic accelerated two structural changes relevant to Pawtal:</w:t>
      </w:r>
    </w:p>
    <w:p>
      <w:pPr>
        <w:pStyle w:val="ListParagraph"/>
        <w:numPr>
          <w:ilvl w:val="0"/>
          <w:numId w:val="2"/>
        </w:numPr>
        <w:spacing w:after="40" w:before="40"/>
      </w:pPr>
      <w:r>
        <w:rPr>
          <w:rFonts w:ascii="Arial" w:cs="Arial" w:eastAsia="Arial" w:hAnsi="Arial"/>
          <w:color w:val="1A1A2E"/>
          <w:sz w:val="22"/>
          <w:szCs w:val="22"/>
        </w:rPr>
        <w:t xml:space="preserve">Urban pet adoption surged in 2020–2021, adding an estimated 1–2 million new pet-owning households in Thailand.</w:t>
      </w:r>
    </w:p>
    <w:p>
      <w:pPr>
        <w:pStyle w:val="ListParagraph"/>
        <w:numPr>
          <w:ilvl w:val="0"/>
          <w:numId w:val="2"/>
        </w:numPr>
        <w:spacing w:after="40" w:before="40"/>
      </w:pPr>
      <w:r>
        <w:rPr>
          <w:rFonts w:ascii="Arial" w:cs="Arial" w:eastAsia="Arial" w:hAnsi="Arial"/>
          <w:color w:val="1A1A2E"/>
          <w:sz w:val="22"/>
          <w:szCs w:val="22"/>
        </w:rPr>
        <w:t xml:space="preserve">Work-from-home normalised spending on pet care as a lifestyle category, increasing average annual spend per pet by an estimated 20–30%.</w:t>
      </w:r>
    </w:p>
    <w:p>
      <w:pPr>
        <w:pStyle w:val="ListParagraph"/>
        <w:numPr>
          <w:ilvl w:val="0"/>
          <w:numId w:val="2"/>
        </w:numPr>
        <w:spacing w:after="40" w:before="40"/>
      </w:pPr>
      <w:r>
        <w:rPr>
          <w:rFonts w:ascii="Arial" w:cs="Arial" w:eastAsia="Arial" w:hAnsi="Arial"/>
          <w:color w:val="1A1A2E"/>
          <w:sz w:val="22"/>
          <w:szCs w:val="22"/>
        </w:rPr>
        <w:t xml:space="preserve">Humanisation: pets are now treated as family members. Premium grooming, specialised diets, and veterinary wellness plans are growing rapidly.</w:t>
      </w:r>
    </w:p>
    <w:p>
      <w:pPr>
        <w:pStyle w:val="ListParagraph"/>
        <w:numPr>
          <w:ilvl w:val="0"/>
          <w:numId w:val="2"/>
        </w:numPr>
        <w:spacing w:after="40" w:before="40"/>
      </w:pPr>
      <w:r>
        <w:rPr>
          <w:rFonts w:ascii="Arial" w:cs="Arial" w:eastAsia="Arial" w:hAnsi="Arial"/>
          <w:color w:val="1A1A2E"/>
          <w:sz w:val="22"/>
          <w:szCs w:val="22"/>
        </w:rPr>
        <w:t xml:space="preserve">Convenience economy: same segment that orders food delivery and ride-hailing now expects on-demand or easily-scheduled pet care services.</w:t>
      </w:r>
    </w:p>
    <w:p>
      <w:r>
        <w:br w:type="page"/>
      </w:r>
    </w:p>
    <w:p>
      <w:pPr>
        <w:pStyle w:val="Heading1"/>
        <w:pBdr>
          <w:bottom w:val="single" w:color="1A3C5E" w:sz="4" w:space="4"/>
        </w:pBdr>
        <w:spacing w:after="200" w:before="480"/>
      </w:pPr>
      <w:r>
        <w:rPr>
          <w:rFonts w:ascii="Arial" w:cs="Arial" w:eastAsia="Arial" w:hAnsi="Arial"/>
          <w:b/>
          <w:bCs/>
          <w:color w:val="1A3C5E"/>
          <w:sz w:val="36"/>
          <w:szCs w:val="36"/>
        </w:rPr>
        <w:t xml:space="preserve">3. Market Sizing (TAM / SAM / SOM)</w:t>
      </w:r>
    </w:p>
    <w:p>
      <w:pPr>
        <w:spacing w:after="80" w:before="80" w:line="320"/>
      </w:pPr>
      <w:r>
        <w:rPr>
          <w:rFonts w:ascii="Arial" w:cs="Arial" w:eastAsia="Arial" w:hAnsi="Arial"/>
          <w:color w:val="1A1A2E"/>
          <w:sz w:val="22"/>
          <w:szCs w:val="22"/>
        </w:rPr>
        <w:t xml:space="preserve">The following sizing follows a top-down methodology. All figures are estimates to be refined with primary research.</w:t>
      </w:r>
    </w:p>
    <w:p>
      <w:pPr>
        <w:spacing w:after="6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160"/>
        <w:gridCol w:w="3200"/>
      </w:tblGrid>
      <w:tr>
        <w:trPr>
          <w:tblHeader/>
        </w:trPr>
        <w:tc>
          <w:tcPr>
            <w:tcW w:type="dxa" w:w="1800"/>
            <w:tcBorders>
              <w:top w:val="single" w:color="D0D8E0" w:sz="1"/>
              <w:left w:val="single" w:color="D0D8E0" w:sz="1"/>
              <w:bottom w:val="single" w:color="D0D8E0" w:sz="1"/>
              <w:right w:val="single" w:color="D0D8E0"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Level</w:t>
            </w:r>
          </w:p>
        </w:tc>
        <w:tc>
          <w:tcPr>
            <w:tcW w:type="dxa" w:w="2200"/>
            <w:tcBorders>
              <w:top w:val="single" w:color="D0D8E0" w:sz="1"/>
              <w:left w:val="single" w:color="D0D8E0" w:sz="1"/>
              <w:bottom w:val="single" w:color="D0D8E0" w:sz="1"/>
              <w:right w:val="single" w:color="D0D8E0"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Definition</w:t>
            </w:r>
          </w:p>
        </w:tc>
        <w:tc>
          <w:tcPr>
            <w:tcW w:type="dxa" w:w="2160"/>
            <w:tcBorders>
              <w:top w:val="single" w:color="D0D8E0" w:sz="1"/>
              <w:left w:val="single" w:color="D0D8E0" w:sz="1"/>
              <w:bottom w:val="single" w:color="D0D8E0" w:sz="1"/>
              <w:right w:val="single" w:color="D0D8E0"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Estimate</w:t>
            </w:r>
          </w:p>
        </w:tc>
        <w:tc>
          <w:tcPr>
            <w:tcW w:type="dxa" w:w="3200"/>
            <w:tcBorders>
              <w:top w:val="single" w:color="D0D8E0" w:sz="1"/>
              <w:left w:val="single" w:color="D0D8E0" w:sz="1"/>
              <w:bottom w:val="single" w:color="D0D8E0" w:sz="1"/>
              <w:right w:val="single" w:color="D0D8E0"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Basis</w:t>
            </w:r>
          </w:p>
        </w:tc>
      </w:tr>
      <w:tr>
        <w:tc>
          <w:tcPr>
            <w:tcW w:type="dxa" w:w="180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color w:val="1A1A2E"/>
                <w:sz w:val="20"/>
                <w:szCs w:val="20"/>
              </w:rPr>
              <w:t xml:space="preserve">TAM</w:t>
            </w:r>
          </w:p>
        </w:tc>
        <w:tc>
          <w:tcPr>
            <w:tcW w:type="dxa" w:w="220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color w:val="1A1A2E"/>
                <w:sz w:val="20"/>
                <w:szCs w:val="20"/>
              </w:rPr>
              <w:t xml:space="preserve">Total addressable pet care services market in Thailand</w:t>
            </w:r>
          </w:p>
        </w:tc>
        <w:tc>
          <w:tcPr>
            <w:tcW w:type="dxa" w:w="216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color w:val="1A1A2E"/>
                <w:sz w:val="20"/>
                <w:szCs w:val="20"/>
              </w:rPr>
              <w:t xml:space="preserve">THB 60–70B/year</w:t>
            </w:r>
          </w:p>
        </w:tc>
        <w:tc>
          <w:tcPr>
            <w:tcW w:type="dxa" w:w="320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color w:val="1A1A2E"/>
                <w:sz w:val="20"/>
                <w:szCs w:val="20"/>
              </w:rPr>
              <w:t xml:space="preserve">Industry estimate; pet food + grooming + vet + accessories</w:t>
            </w:r>
          </w:p>
        </w:tc>
      </w:tr>
      <w:tr>
        <w:tc>
          <w:tcPr>
            <w:tcW w:type="dxa" w:w="180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color w:val="1A1A2E"/>
                <w:sz w:val="20"/>
                <w:szCs w:val="20"/>
              </w:rPr>
              <w:t xml:space="preserve">SAM</w:t>
            </w:r>
          </w:p>
        </w:tc>
        <w:tc>
          <w:tcPr>
            <w:tcW w:type="dxa" w:w="220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color w:val="1A1A2E"/>
                <w:sz w:val="20"/>
                <w:szCs w:val="20"/>
              </w:rPr>
              <w:t xml:space="preserve">Pet grooming &amp; booking services in Bangkok metro</w:t>
            </w:r>
          </w:p>
        </w:tc>
        <w:tc>
          <w:tcPr>
            <w:tcW w:type="dxa" w:w="216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color w:val="1A1A2E"/>
                <w:sz w:val="20"/>
                <w:szCs w:val="20"/>
              </w:rPr>
              <w:t xml:space="preserve">THB 8–12B/year</w:t>
            </w:r>
          </w:p>
        </w:tc>
        <w:tc>
          <w:tcPr>
            <w:tcW w:type="dxa" w:w="320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color w:val="1A1A2E"/>
                <w:sz w:val="20"/>
                <w:szCs w:val="20"/>
              </w:rPr>
              <w:t xml:space="preserve">~15–20% of TAM in Bangkok; grooming, bathing, spa services</w:t>
            </w:r>
          </w:p>
        </w:tc>
      </w:tr>
      <w:tr>
        <w:tc>
          <w:tcPr>
            <w:tcW w:type="dxa" w:w="180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color w:val="1A1A2E"/>
                <w:sz w:val="20"/>
                <w:szCs w:val="20"/>
              </w:rPr>
              <w:t xml:space="preserve">SOM (Y1)</w:t>
            </w:r>
          </w:p>
        </w:tc>
        <w:tc>
          <w:tcPr>
            <w:tcW w:type="dxa" w:w="220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color w:val="1A1A2E"/>
                <w:sz w:val="20"/>
                <w:szCs w:val="20"/>
              </w:rPr>
              <w:t xml:space="preserve">Reachable market — Sukhumvit zone, digital-first providers</w:t>
            </w:r>
          </w:p>
        </w:tc>
        <w:tc>
          <w:tcPr>
            <w:tcW w:type="dxa" w:w="216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color w:val="1A1A2E"/>
                <w:sz w:val="20"/>
                <w:szCs w:val="20"/>
              </w:rPr>
              <w:t xml:space="preserve">THB 150–300M/year</w:t>
            </w:r>
          </w:p>
        </w:tc>
        <w:tc>
          <w:tcPr>
            <w:tcW w:type="dxa" w:w="320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color w:val="1A1A2E"/>
                <w:sz w:val="20"/>
                <w:szCs w:val="20"/>
              </w:rPr>
              <w:t xml:space="preserve">~50–100 active providers, 5–10K transactions/month at avg THB 500</w:t>
            </w:r>
          </w:p>
        </w:tc>
      </w:tr>
      <w:tr>
        <w:tc>
          <w:tcPr>
            <w:tcW w:type="dxa" w:w="180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color w:val="1A1A2E"/>
                <w:sz w:val="20"/>
                <w:szCs w:val="20"/>
              </w:rPr>
              <w:t xml:space="preserve">SOM (Y2)</w:t>
            </w:r>
          </w:p>
        </w:tc>
        <w:tc>
          <w:tcPr>
            <w:tcW w:type="dxa" w:w="220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color w:val="1A1A2E"/>
                <w:sz w:val="20"/>
                <w:szCs w:val="20"/>
              </w:rPr>
              <w:t xml:space="preserve">Greater Bangkok expansion — 5 additional districts</w:t>
            </w:r>
          </w:p>
        </w:tc>
        <w:tc>
          <w:tcPr>
            <w:tcW w:type="dxa" w:w="216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color w:val="1A1A2E"/>
                <w:sz w:val="20"/>
                <w:szCs w:val="20"/>
              </w:rPr>
              <w:t xml:space="preserve">THB 800M–1.5B/year</w:t>
            </w:r>
          </w:p>
        </w:tc>
        <w:tc>
          <w:tcPr>
            <w:tcW w:type="dxa" w:w="320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color w:val="1A1A2E"/>
                <w:sz w:val="20"/>
                <w:szCs w:val="20"/>
              </w:rPr>
              <w:t xml:space="preserve">Scaled acquisition from Y1 playbook</w:t>
            </w:r>
          </w:p>
        </w:tc>
      </w:tr>
    </w:tbl>
    <w:p>
      <w:pPr>
        <w:spacing w:after="80" w:before="120"/>
      </w:pPr>
    </w:p>
    <w:p>
      <w:pPr>
        <w:spacing w:after="80" w:before="80" w:line="320"/>
      </w:pPr>
      <w:r>
        <w:rPr>
          <w:rFonts w:ascii="Arial" w:cs="Arial" w:eastAsia="Arial" w:hAnsi="Arial"/>
          <w:color w:val="1A1A2E"/>
          <w:sz w:val="22"/>
          <w:szCs w:val="22"/>
        </w:rPr>
        <w:t xml:space="preserve">Pawtal’s unit economics target: average booking value THB 400–800; platform take rate 10–15%; leading to GMV-based revenue model. At 5,000 transactions/month in Y1 — a realistic Sukhumvit-only target — monthly GMV of ~THB 2.5–4M, yielding ~THB 250–600K monthly revenue.</w:t>
      </w:r>
    </w:p>
    <w:p>
      <w:r>
        <w:br w:type="page"/>
      </w:r>
    </w:p>
    <w:p>
      <w:pPr>
        <w:pStyle w:val="Heading1"/>
        <w:pBdr>
          <w:bottom w:val="single" w:color="1A3C5E" w:sz="4" w:space="4"/>
        </w:pBdr>
        <w:spacing w:after="200" w:before="480"/>
      </w:pPr>
      <w:r>
        <w:rPr>
          <w:rFonts w:ascii="Arial" w:cs="Arial" w:eastAsia="Arial" w:hAnsi="Arial"/>
          <w:b/>
          <w:bCs/>
          <w:color w:val="1A3C5E"/>
          <w:sz w:val="36"/>
          <w:szCs w:val="36"/>
        </w:rPr>
        <w:t xml:space="preserve">4. Target Customer Segments</w:t>
      </w:r>
    </w:p>
    <w:p>
      <w:pPr>
        <w:pStyle w:val="Heading2"/>
        <w:spacing w:after="120" w:before="320"/>
      </w:pPr>
      <w:r>
        <w:rPr>
          <w:rFonts w:ascii="Arial" w:cs="Arial" w:eastAsia="Arial" w:hAnsi="Arial"/>
          <w:b/>
          <w:bCs/>
          <w:color w:val="0D7377"/>
          <w:sz w:val="28"/>
          <w:szCs w:val="28"/>
        </w:rPr>
        <w:t xml:space="preserve">4.1 Segment A: Pet Service Providers (B2B — MVP#1 Focus)</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tblHeader/>
        </w:trPr>
        <w:tc>
          <w:tcPr>
            <w:tcW w:type="dxa" w:w="2340"/>
            <w:tcBorders>
              <w:top w:val="single" w:color="D0D8E0" w:sz="1"/>
              <w:left w:val="single" w:color="D0D8E0" w:sz="1"/>
              <w:bottom w:val="single" w:color="D0D8E0" w:sz="1"/>
              <w:right w:val="single" w:color="D0D8E0"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Attribute</w:t>
            </w:r>
          </w:p>
        </w:tc>
        <w:tc>
          <w:tcPr>
            <w:tcW w:type="dxa" w:w="7020"/>
            <w:tcBorders>
              <w:top w:val="single" w:color="D0D8E0" w:sz="1"/>
              <w:left w:val="single" w:color="D0D8E0" w:sz="1"/>
              <w:bottom w:val="single" w:color="D0D8E0" w:sz="1"/>
              <w:right w:val="single" w:color="D0D8E0"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Detail</w:t>
            </w:r>
          </w:p>
        </w:tc>
      </w:tr>
      <w:tr>
        <w:tc>
          <w:tcPr>
            <w:tcW w:type="dxa" w:w="234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color w:val="1A1A2E"/>
                <w:sz w:val="20"/>
                <w:szCs w:val="20"/>
              </w:rPr>
              <w:t xml:space="preserve">Who they are</w:t>
            </w:r>
          </w:p>
        </w:tc>
        <w:tc>
          <w:tcPr>
            <w:tcW w:type="dxa" w:w="702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color w:val="1A1A2E"/>
                <w:sz w:val="20"/>
                <w:szCs w:val="20"/>
              </w:rPr>
              <w:t xml:space="preserve">Independent pet groomers, small pet salons (1–3 staff), mobile grooming vans, veterinary clinics with grooming services</w:t>
            </w:r>
          </w:p>
        </w:tc>
      </w:tr>
      <w:tr>
        <w:tc>
          <w:tcPr>
            <w:tcW w:type="dxa" w:w="234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color w:val="1A1A2E"/>
                <w:sz w:val="20"/>
                <w:szCs w:val="20"/>
              </w:rPr>
              <w:t xml:space="preserve">Location</w:t>
            </w:r>
          </w:p>
        </w:tc>
        <w:tc>
          <w:tcPr>
            <w:tcW w:type="dxa" w:w="702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color w:val="1A1A2E"/>
                <w:sz w:val="20"/>
                <w:szCs w:val="20"/>
              </w:rPr>
              <w:t xml:space="preserve">Sukhumvit area (BTS On Nut to Asok initially); greater Bangkok in Y2</w:t>
            </w:r>
          </w:p>
        </w:tc>
      </w:tr>
      <w:tr>
        <w:tc>
          <w:tcPr>
            <w:tcW w:type="dxa" w:w="234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color w:val="1A1A2E"/>
                <w:sz w:val="20"/>
                <w:szCs w:val="20"/>
              </w:rPr>
              <w:t xml:space="preserve">Business size</w:t>
            </w:r>
          </w:p>
        </w:tc>
        <w:tc>
          <w:tcPr>
            <w:tcW w:type="dxa" w:w="702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color w:val="1A1A2E"/>
                <w:sz w:val="20"/>
                <w:szCs w:val="20"/>
              </w:rPr>
              <w:t xml:space="preserve">Micro-SME: THB 30K–200K monthly revenue; 10–80 clients/month</w:t>
            </w:r>
          </w:p>
        </w:tc>
      </w:tr>
      <w:tr>
        <w:tc>
          <w:tcPr>
            <w:tcW w:type="dxa" w:w="234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color w:val="1A1A2E"/>
                <w:sz w:val="20"/>
                <w:szCs w:val="20"/>
              </w:rPr>
              <w:t xml:space="preserve">Tech adoption</w:t>
            </w:r>
          </w:p>
        </w:tc>
        <w:tc>
          <w:tcPr>
            <w:tcW w:type="dxa" w:w="702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color w:val="1A1A2E"/>
                <w:sz w:val="20"/>
                <w:szCs w:val="20"/>
              </w:rPr>
              <w:t xml:space="preserve">High smartphone use; LINE OA for appointments; Instagram/Facebook for marketing; low adoption of purpose-built booking tools</w:t>
            </w:r>
          </w:p>
        </w:tc>
      </w:tr>
      <w:tr>
        <w:tc>
          <w:tcPr>
            <w:tcW w:type="dxa" w:w="234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color w:val="1A1A2E"/>
                <w:sz w:val="20"/>
                <w:szCs w:val="20"/>
              </w:rPr>
              <w:t xml:space="preserve">Key goals</w:t>
            </w:r>
          </w:p>
        </w:tc>
        <w:tc>
          <w:tcPr>
            <w:tcW w:type="dxa" w:w="702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color w:val="1A1A2E"/>
                <w:sz w:val="20"/>
                <w:szCs w:val="20"/>
              </w:rPr>
              <w:t xml:space="preserve">Acquire new clients, reduce no-shows, manage schedule, increase revenue, build reputation</w:t>
            </w:r>
          </w:p>
        </w:tc>
      </w:tr>
      <w:tr>
        <w:tc>
          <w:tcPr>
            <w:tcW w:type="dxa" w:w="234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color w:val="1A1A2E"/>
                <w:sz w:val="20"/>
                <w:szCs w:val="20"/>
              </w:rPr>
              <w:t xml:space="preserve">Pain points</w:t>
            </w:r>
          </w:p>
        </w:tc>
        <w:tc>
          <w:tcPr>
            <w:tcW w:type="dxa" w:w="702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color w:val="1A1A2E"/>
                <w:sz w:val="20"/>
                <w:szCs w:val="20"/>
              </w:rPr>
              <w:t xml:space="preserve">Reliance on manual LINE messages for bookings; no-shows without automated reminders; difficult to showcase services online; no centralised client history; cashflow unpredictability</w:t>
            </w:r>
          </w:p>
        </w:tc>
      </w:tr>
      <w:tr>
        <w:tc>
          <w:tcPr>
            <w:tcW w:type="dxa" w:w="234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color w:val="1A1A2E"/>
                <w:sz w:val="20"/>
                <w:szCs w:val="20"/>
              </w:rPr>
              <w:t xml:space="preserve">Willingness to pay</w:t>
            </w:r>
          </w:p>
        </w:tc>
        <w:tc>
          <w:tcPr>
            <w:tcW w:type="dxa" w:w="702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color w:val="1A1A2E"/>
                <w:sz w:val="20"/>
                <w:szCs w:val="20"/>
              </w:rPr>
              <w:t xml:space="preserve">THB 300–800/month for a platform subscription or low % commission (under 15%) if the platform delivers real bookings</w:t>
            </w:r>
          </w:p>
        </w:tc>
      </w:tr>
      <w:tr>
        <w:tc>
          <w:tcPr>
            <w:tcW w:type="dxa" w:w="234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color w:val="1A1A2E"/>
                <w:sz w:val="20"/>
                <w:szCs w:val="20"/>
              </w:rPr>
              <w:t xml:space="preserve">Decision maker</w:t>
            </w:r>
          </w:p>
        </w:tc>
        <w:tc>
          <w:tcPr>
            <w:tcW w:type="dxa" w:w="702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color w:val="1A1A2E"/>
                <w:sz w:val="20"/>
                <w:szCs w:val="20"/>
              </w:rPr>
              <w:t xml:space="preserve">Owner-operator; decisions made quickly if value is clear; sceptical of upfront fees before seeing value</w:t>
            </w:r>
          </w:p>
        </w:tc>
      </w:tr>
    </w:tbl>
    <w:p>
      <w:pPr>
        <w:spacing w:after="80" w:before="200"/>
      </w:pPr>
    </w:p>
    <w:p>
      <w:pPr>
        <w:pStyle w:val="Heading2"/>
        <w:spacing w:after="120" w:before="320"/>
      </w:pPr>
      <w:r>
        <w:rPr>
          <w:rFonts w:ascii="Arial" w:cs="Arial" w:eastAsia="Arial" w:hAnsi="Arial"/>
          <w:b/>
          <w:bCs/>
          <w:color w:val="0D7377"/>
          <w:sz w:val="28"/>
          <w:szCs w:val="28"/>
        </w:rPr>
        <w:t xml:space="preserve">4.2 Segment B: Pet Owners / Customers (B2C — MVP#2+)</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tblHeader/>
        </w:trPr>
        <w:tc>
          <w:tcPr>
            <w:tcW w:type="dxa" w:w="2340"/>
            <w:tcBorders>
              <w:top w:val="single" w:color="D0D8E0" w:sz="1"/>
              <w:left w:val="single" w:color="D0D8E0" w:sz="1"/>
              <w:bottom w:val="single" w:color="D0D8E0" w:sz="1"/>
              <w:right w:val="single" w:color="D0D8E0"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Attribute</w:t>
            </w:r>
          </w:p>
        </w:tc>
        <w:tc>
          <w:tcPr>
            <w:tcW w:type="dxa" w:w="7020"/>
            <w:tcBorders>
              <w:top w:val="single" w:color="D0D8E0" w:sz="1"/>
              <w:left w:val="single" w:color="D0D8E0" w:sz="1"/>
              <w:bottom w:val="single" w:color="D0D8E0" w:sz="1"/>
              <w:right w:val="single" w:color="D0D8E0"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Detail</w:t>
            </w:r>
          </w:p>
        </w:tc>
      </w:tr>
      <w:tr>
        <w:tc>
          <w:tcPr>
            <w:tcW w:type="dxa" w:w="234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color w:val="1A1A2E"/>
                <w:sz w:val="20"/>
                <w:szCs w:val="20"/>
              </w:rPr>
              <w:t xml:space="preserve">Who they are</w:t>
            </w:r>
          </w:p>
        </w:tc>
        <w:tc>
          <w:tcPr>
            <w:tcW w:type="dxa" w:w="702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color w:val="1A1A2E"/>
                <w:sz w:val="20"/>
                <w:szCs w:val="20"/>
              </w:rPr>
              <w:t xml:space="preserve">Urban Bangkok pet owners, primarily dogs and cats; age 22–45; single professionals and young families</w:t>
            </w:r>
          </w:p>
        </w:tc>
      </w:tr>
      <w:tr>
        <w:tc>
          <w:tcPr>
            <w:tcW w:type="dxa" w:w="234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color w:val="1A1A2E"/>
                <w:sz w:val="20"/>
                <w:szCs w:val="20"/>
              </w:rPr>
              <w:t xml:space="preserve">Location</w:t>
            </w:r>
          </w:p>
        </w:tc>
        <w:tc>
          <w:tcPr>
            <w:tcW w:type="dxa" w:w="702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color w:val="1A1A2E"/>
                <w:sz w:val="20"/>
                <w:szCs w:val="20"/>
              </w:rPr>
              <w:t xml:space="preserve">Sukhumvit corridor, Silom, Ari, Ladprao — areas with high condo density</w:t>
            </w:r>
          </w:p>
        </w:tc>
      </w:tr>
      <w:tr>
        <w:tc>
          <w:tcPr>
            <w:tcW w:type="dxa" w:w="234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color w:val="1A1A2E"/>
                <w:sz w:val="20"/>
                <w:szCs w:val="20"/>
              </w:rPr>
              <w:t xml:space="preserve">Spending</w:t>
            </w:r>
          </w:p>
        </w:tc>
        <w:tc>
          <w:tcPr>
            <w:tcW w:type="dxa" w:w="702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color w:val="1A1A2E"/>
                <w:sz w:val="20"/>
                <w:szCs w:val="20"/>
              </w:rPr>
              <w:t xml:space="preserve">Monthly pet spending THB 2,000–8,000; grooming THB 400–1,500 per session; 2–4 times per month</w:t>
            </w:r>
          </w:p>
        </w:tc>
      </w:tr>
      <w:tr>
        <w:tc>
          <w:tcPr>
            <w:tcW w:type="dxa" w:w="234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color w:val="1A1A2E"/>
                <w:sz w:val="20"/>
                <w:szCs w:val="20"/>
              </w:rPr>
              <w:t xml:space="preserve">Tech behaviour</w:t>
            </w:r>
          </w:p>
        </w:tc>
        <w:tc>
          <w:tcPr>
            <w:tcW w:type="dxa" w:w="702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color w:val="1A1A2E"/>
                <w:sz w:val="20"/>
                <w:szCs w:val="20"/>
              </w:rPr>
              <w:t xml:space="preserve">Line/Instagram/TikTok daily users; online shopping via Shopee/Lazada; food delivery via GrabFood; expects app-quality UX</w:t>
            </w:r>
          </w:p>
        </w:tc>
      </w:tr>
      <w:tr>
        <w:tc>
          <w:tcPr>
            <w:tcW w:type="dxa" w:w="234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color w:val="1A1A2E"/>
                <w:sz w:val="20"/>
                <w:szCs w:val="20"/>
              </w:rPr>
              <w:t xml:space="preserve">Key goals</w:t>
            </w:r>
          </w:p>
        </w:tc>
        <w:tc>
          <w:tcPr>
            <w:tcW w:type="dxa" w:w="702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color w:val="1A1A2E"/>
                <w:sz w:val="20"/>
                <w:szCs w:val="20"/>
              </w:rPr>
              <w:t xml:space="preserve">Find trusted, convenient, nearby groomers; transparent pricing; easy rescheduling; track pet’s grooming history</w:t>
            </w:r>
          </w:p>
        </w:tc>
      </w:tr>
      <w:tr>
        <w:tc>
          <w:tcPr>
            <w:tcW w:type="dxa" w:w="234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color w:val="1A1A2E"/>
                <w:sz w:val="20"/>
                <w:szCs w:val="20"/>
              </w:rPr>
              <w:t xml:space="preserve">Pain points</w:t>
            </w:r>
          </w:p>
        </w:tc>
        <w:tc>
          <w:tcPr>
            <w:tcW w:type="dxa" w:w="702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color w:val="1A1A2E"/>
                <w:sz w:val="20"/>
                <w:szCs w:val="20"/>
              </w:rPr>
              <w:t xml:space="preserve">Hard to find reliable groomers beyond word-of-mouth; no transparent pricing; no online booking; had bad experiences with under-skilled groomers</w:t>
            </w:r>
          </w:p>
        </w:tc>
      </w:tr>
      <w:tr>
        <w:tc>
          <w:tcPr>
            <w:tcW w:type="dxa" w:w="234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color w:val="1A1A2E"/>
                <w:sz w:val="20"/>
                <w:szCs w:val="20"/>
              </w:rPr>
              <w:t xml:space="preserve">Willingness to pay</w:t>
            </w:r>
          </w:p>
        </w:tc>
        <w:tc>
          <w:tcPr>
            <w:tcW w:type="dxa" w:w="702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color w:val="1A1A2E"/>
                <w:sz w:val="20"/>
                <w:szCs w:val="20"/>
              </w:rPr>
              <w:t xml:space="preserve">Will pay 5–10% premium for convenience and trust signals; prefers top-up wallet over per-transaction payment entry</w:t>
            </w:r>
          </w:p>
        </w:tc>
      </w:tr>
    </w:tbl>
    <w:p>
      <w:r>
        <w:br w:type="page"/>
      </w:r>
    </w:p>
    <w:p>
      <w:pPr>
        <w:pStyle w:val="Heading1"/>
        <w:pBdr>
          <w:bottom w:val="single" w:color="1A3C5E" w:sz="4" w:space="4"/>
        </w:pBdr>
        <w:spacing w:after="200" w:before="480"/>
      </w:pPr>
      <w:r>
        <w:rPr>
          <w:rFonts w:ascii="Arial" w:cs="Arial" w:eastAsia="Arial" w:hAnsi="Arial"/>
          <w:b/>
          <w:bCs/>
          <w:color w:val="1A3C5E"/>
          <w:sz w:val="36"/>
          <w:szCs w:val="36"/>
        </w:rPr>
        <w:t xml:space="preserve">5. Competitive Landscape</w:t>
      </w:r>
    </w:p>
    <w:p>
      <w:pPr>
        <w:pStyle w:val="Heading2"/>
        <w:spacing w:after="120" w:before="320"/>
      </w:pPr>
      <w:r>
        <w:rPr>
          <w:rFonts w:ascii="Arial" w:cs="Arial" w:eastAsia="Arial" w:hAnsi="Arial"/>
          <w:b/>
          <w:bCs/>
          <w:color w:val="0D7377"/>
          <w:sz w:val="28"/>
          <w:szCs w:val="28"/>
        </w:rPr>
        <w:t xml:space="preserve">5.1 Direct Competitors</w:t>
      </w:r>
    </w:p>
    <w:p>
      <w:pPr>
        <w:spacing w:after="80" w:before="80" w:line="320"/>
      </w:pPr>
      <w:r>
        <w:rPr>
          <w:rFonts w:ascii="Arial" w:cs="Arial" w:eastAsia="Arial" w:hAnsi="Arial"/>
          <w:color w:val="1A1A2E"/>
          <w:sz w:val="22"/>
          <w:szCs w:val="22"/>
        </w:rPr>
        <w:t xml:space="preserve">The following platforms operate in the pet service booking / marketplace space:</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1400"/>
        <w:gridCol w:w="2330"/>
        <w:gridCol w:w="2430"/>
      </w:tblGrid>
      <w:tr>
        <w:trPr>
          <w:tblHeader/>
        </w:trPr>
        <w:tc>
          <w:tcPr>
            <w:tcW w:type="dxa" w:w="1700"/>
            <w:tcBorders>
              <w:top w:val="single" w:color="D0D8E0" w:sz="1"/>
              <w:left w:val="single" w:color="D0D8E0" w:sz="1"/>
              <w:bottom w:val="single" w:color="D0D8E0" w:sz="1"/>
              <w:right w:val="single" w:color="D0D8E0"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Competitor</w:t>
            </w:r>
          </w:p>
        </w:tc>
        <w:tc>
          <w:tcPr>
            <w:tcW w:type="dxa" w:w="1500"/>
            <w:tcBorders>
              <w:top w:val="single" w:color="D0D8E0" w:sz="1"/>
              <w:left w:val="single" w:color="D0D8E0" w:sz="1"/>
              <w:bottom w:val="single" w:color="D0D8E0" w:sz="1"/>
              <w:right w:val="single" w:color="D0D8E0"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Type</w:t>
            </w:r>
          </w:p>
        </w:tc>
        <w:tc>
          <w:tcPr>
            <w:tcW w:type="dxa" w:w="1400"/>
            <w:tcBorders>
              <w:top w:val="single" w:color="D0D8E0" w:sz="1"/>
              <w:left w:val="single" w:color="D0D8E0" w:sz="1"/>
              <w:bottom w:val="single" w:color="D0D8E0" w:sz="1"/>
              <w:right w:val="single" w:color="D0D8E0"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Market</w:t>
            </w:r>
          </w:p>
        </w:tc>
        <w:tc>
          <w:tcPr>
            <w:tcW w:type="dxa" w:w="2330"/>
            <w:tcBorders>
              <w:top w:val="single" w:color="D0D8E0" w:sz="1"/>
              <w:left w:val="single" w:color="D0D8E0" w:sz="1"/>
              <w:bottom w:val="single" w:color="D0D8E0" w:sz="1"/>
              <w:right w:val="single" w:color="D0D8E0"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Strengths</w:t>
            </w:r>
          </w:p>
        </w:tc>
        <w:tc>
          <w:tcPr>
            <w:tcW w:type="dxa" w:w="2430"/>
            <w:tcBorders>
              <w:top w:val="single" w:color="D0D8E0" w:sz="1"/>
              <w:left w:val="single" w:color="D0D8E0" w:sz="1"/>
              <w:bottom w:val="single" w:color="D0D8E0" w:sz="1"/>
              <w:right w:val="single" w:color="D0D8E0"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Weaknesses</w:t>
            </w:r>
          </w:p>
        </w:tc>
      </w:tr>
      <w:tr>
        <w:tc>
          <w:tcPr>
            <w:tcW w:type="dxa" w:w="170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color w:val="1A1A2E"/>
                <w:sz w:val="20"/>
                <w:szCs w:val="20"/>
              </w:rPr>
              <w:t xml:space="preserve">PetBacker</w:t>
            </w:r>
          </w:p>
        </w:tc>
        <w:tc>
          <w:tcPr>
            <w:tcW w:type="dxa" w:w="150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color w:val="1A1A2E"/>
                <w:sz w:val="20"/>
                <w:szCs w:val="20"/>
              </w:rPr>
              <w:t xml:space="preserve">Pet care marketplace</w:t>
            </w:r>
          </w:p>
        </w:tc>
        <w:tc>
          <w:tcPr>
            <w:tcW w:type="dxa" w:w="140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color w:val="1A1A2E"/>
                <w:sz w:val="20"/>
                <w:szCs w:val="20"/>
              </w:rPr>
              <w:t xml:space="preserve">SE Asia (incl. TH)</w:t>
            </w:r>
          </w:p>
        </w:tc>
        <w:tc>
          <w:tcPr>
            <w:tcW w:type="dxa" w:w="233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color w:val="1A1A2E"/>
                <w:sz w:val="20"/>
                <w:szCs w:val="20"/>
              </w:rPr>
              <w:t xml:space="preserve">Strong brand in SEA; sitter/boarding focus; reviews system</w:t>
            </w:r>
          </w:p>
        </w:tc>
        <w:tc>
          <w:tcPr>
            <w:tcW w:type="dxa" w:w="243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color w:val="1A1A2E"/>
                <w:sz w:val="20"/>
                <w:szCs w:val="20"/>
              </w:rPr>
              <w:t xml:space="preserve">Grooming limited; UX dated; low Bangkok provider density</w:t>
            </w:r>
          </w:p>
        </w:tc>
      </w:tr>
      <w:tr>
        <w:tc>
          <w:tcPr>
            <w:tcW w:type="dxa" w:w="170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color w:val="1A1A2E"/>
                <w:sz w:val="20"/>
                <w:szCs w:val="20"/>
              </w:rPr>
              <w:t xml:space="preserve">Groopti</w:t>
            </w:r>
          </w:p>
        </w:tc>
        <w:tc>
          <w:tcPr>
            <w:tcW w:type="dxa" w:w="150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color w:val="1A1A2E"/>
                <w:sz w:val="20"/>
                <w:szCs w:val="20"/>
              </w:rPr>
              <w:t xml:space="preserve">Pet service app (TH)</w:t>
            </w:r>
          </w:p>
        </w:tc>
        <w:tc>
          <w:tcPr>
            <w:tcW w:type="dxa" w:w="140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color w:val="1A1A2E"/>
                <w:sz w:val="20"/>
                <w:szCs w:val="20"/>
              </w:rPr>
              <w:t xml:space="preserve">Thailand</w:t>
            </w:r>
          </w:p>
        </w:tc>
        <w:tc>
          <w:tcPr>
            <w:tcW w:type="dxa" w:w="233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color w:val="1A1A2E"/>
                <w:sz w:val="20"/>
                <w:szCs w:val="20"/>
              </w:rPr>
              <w:t xml:space="preserve">Local; mobile app; grooming focus</w:t>
            </w:r>
          </w:p>
        </w:tc>
        <w:tc>
          <w:tcPr>
            <w:tcW w:type="dxa" w:w="243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color w:val="1A1A2E"/>
                <w:sz w:val="20"/>
                <w:szCs w:val="20"/>
              </w:rPr>
              <w:t xml:space="preserve">Limited provider base; low marketing investment; app quality inconsistent</w:t>
            </w:r>
          </w:p>
        </w:tc>
      </w:tr>
      <w:tr>
        <w:tc>
          <w:tcPr>
            <w:tcW w:type="dxa" w:w="170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color w:val="1A1A2E"/>
                <w:sz w:val="20"/>
                <w:szCs w:val="20"/>
              </w:rPr>
              <w:t xml:space="preserve">Pawsome</w:t>
            </w:r>
          </w:p>
        </w:tc>
        <w:tc>
          <w:tcPr>
            <w:tcW w:type="dxa" w:w="150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color w:val="1A1A2E"/>
                <w:sz w:val="20"/>
                <w:szCs w:val="20"/>
              </w:rPr>
              <w:t xml:space="preserve">Pet grooming booking (TH)</w:t>
            </w:r>
          </w:p>
        </w:tc>
        <w:tc>
          <w:tcPr>
            <w:tcW w:type="dxa" w:w="140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color w:val="1A1A2E"/>
                <w:sz w:val="20"/>
                <w:szCs w:val="20"/>
              </w:rPr>
              <w:t xml:space="preserve">Bangkok</w:t>
            </w:r>
          </w:p>
        </w:tc>
        <w:tc>
          <w:tcPr>
            <w:tcW w:type="dxa" w:w="233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color w:val="1A1A2E"/>
                <w:sz w:val="20"/>
                <w:szCs w:val="20"/>
              </w:rPr>
              <w:t xml:space="preserve">Grooming-specific; Thai language</w:t>
            </w:r>
          </w:p>
        </w:tc>
        <w:tc>
          <w:tcPr>
            <w:tcW w:type="dxa" w:w="243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color w:val="1A1A2E"/>
                <w:sz w:val="20"/>
                <w:szCs w:val="20"/>
              </w:rPr>
              <w:t xml:space="preserve">Very limited provider coverage; no real-time availability</w:t>
            </w:r>
          </w:p>
        </w:tc>
      </w:tr>
      <w:tr>
        <w:tc>
          <w:tcPr>
            <w:tcW w:type="dxa" w:w="170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color w:val="1A1A2E"/>
                <w:sz w:val="20"/>
                <w:szCs w:val="20"/>
              </w:rPr>
              <w:t xml:space="preserve">LINE OA (informal)</w:t>
            </w:r>
          </w:p>
        </w:tc>
        <w:tc>
          <w:tcPr>
            <w:tcW w:type="dxa" w:w="150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color w:val="1A1A2E"/>
                <w:sz w:val="20"/>
                <w:szCs w:val="20"/>
              </w:rPr>
              <w:t xml:space="preserve">Messaging-based booking</w:t>
            </w:r>
          </w:p>
        </w:tc>
        <w:tc>
          <w:tcPr>
            <w:tcW w:type="dxa" w:w="140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color w:val="1A1A2E"/>
                <w:sz w:val="20"/>
                <w:szCs w:val="20"/>
              </w:rPr>
              <w:t xml:space="preserve">Nationwide</w:t>
            </w:r>
          </w:p>
        </w:tc>
        <w:tc>
          <w:tcPr>
            <w:tcW w:type="dxa" w:w="233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color w:val="1A1A2E"/>
                <w:sz w:val="20"/>
                <w:szCs w:val="20"/>
              </w:rPr>
              <w:t xml:space="preserve">Universal adoption; free for providers</w:t>
            </w:r>
          </w:p>
        </w:tc>
        <w:tc>
          <w:tcPr>
            <w:tcW w:type="dxa" w:w="243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color w:val="1A1A2E"/>
                <w:sz w:val="20"/>
                <w:szCs w:val="20"/>
              </w:rPr>
              <w:t xml:space="preserve">No discovery; no scheduling system; manual and error-prone</w:t>
            </w:r>
          </w:p>
        </w:tc>
      </w:tr>
    </w:tbl>
    <w:p>
      <w:pPr>
        <w:spacing w:after="80" w:before="160"/>
      </w:pPr>
    </w:p>
    <w:p>
      <w:pPr>
        <w:pStyle w:val="Heading2"/>
        <w:spacing w:after="120" w:before="320"/>
      </w:pPr>
      <w:r>
        <w:rPr>
          <w:rFonts w:ascii="Arial" w:cs="Arial" w:eastAsia="Arial" w:hAnsi="Arial"/>
          <w:b/>
          <w:bCs/>
          <w:color w:val="0D7377"/>
          <w:sz w:val="28"/>
          <w:szCs w:val="28"/>
        </w:rPr>
        <w:t xml:space="preserve">5.2 Indirect Competitors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rPr>
          <w:tblHeader/>
        </w:trPr>
        <w:tc>
          <w:tcPr>
            <w:tcW w:type="dxa" w:w="2200"/>
            <w:tcBorders>
              <w:top w:val="single" w:color="D0D8E0" w:sz="1"/>
              <w:left w:val="single" w:color="D0D8E0" w:sz="1"/>
              <w:bottom w:val="single" w:color="D0D8E0" w:sz="1"/>
              <w:right w:val="single" w:color="D0D8E0"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Competitor</w:t>
            </w:r>
          </w:p>
        </w:tc>
        <w:tc>
          <w:tcPr>
            <w:tcW w:type="dxa" w:w="2200"/>
            <w:tcBorders>
              <w:top w:val="single" w:color="D0D8E0" w:sz="1"/>
              <w:left w:val="single" w:color="D0D8E0" w:sz="1"/>
              <w:bottom w:val="single" w:color="D0D8E0" w:sz="1"/>
              <w:right w:val="single" w:color="D0D8E0"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Type</w:t>
            </w:r>
          </w:p>
        </w:tc>
        <w:tc>
          <w:tcPr>
            <w:tcW w:type="dxa" w:w="4960"/>
            <w:tcBorders>
              <w:top w:val="single" w:color="D0D8E0" w:sz="1"/>
              <w:left w:val="single" w:color="D0D8E0" w:sz="1"/>
              <w:bottom w:val="single" w:color="D0D8E0" w:sz="1"/>
              <w:right w:val="single" w:color="D0D8E0"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Relevance to Pawtal</w:t>
            </w:r>
          </w:p>
        </w:tc>
      </w:tr>
      <w:tr>
        <w:tc>
          <w:tcPr>
            <w:tcW w:type="dxa" w:w="220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color w:val="1A1A2E"/>
                <w:sz w:val="20"/>
                <w:szCs w:val="20"/>
              </w:rPr>
              <w:t xml:space="preserve">Facebook Groups</w:t>
            </w:r>
          </w:p>
        </w:tc>
        <w:tc>
          <w:tcPr>
            <w:tcW w:type="dxa" w:w="220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color w:val="1A1A2E"/>
                <w:sz w:val="20"/>
                <w:szCs w:val="20"/>
              </w:rPr>
              <w:t xml:space="preserve">Social discovery</w:t>
            </w:r>
          </w:p>
        </w:tc>
        <w:tc>
          <w:tcPr>
            <w:tcW w:type="dxa" w:w="496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color w:val="1A1A2E"/>
                <w:sz w:val="20"/>
                <w:szCs w:val="20"/>
              </w:rPr>
              <w:t xml:space="preserve">Primary channel for pet owners to find groomers; no booking, no trust signals</w:t>
            </w:r>
          </w:p>
        </w:tc>
      </w:tr>
      <w:tr>
        <w:tc>
          <w:tcPr>
            <w:tcW w:type="dxa" w:w="220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color w:val="1A1A2E"/>
                <w:sz w:val="20"/>
                <w:szCs w:val="20"/>
              </w:rPr>
              <w:t xml:space="preserve">Seekster (TH)</w:t>
            </w:r>
          </w:p>
        </w:tc>
        <w:tc>
          <w:tcPr>
            <w:tcW w:type="dxa" w:w="220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color w:val="1A1A2E"/>
                <w:sz w:val="20"/>
                <w:szCs w:val="20"/>
              </w:rPr>
              <w:t xml:space="preserve">Home service marketplace</w:t>
            </w:r>
          </w:p>
        </w:tc>
        <w:tc>
          <w:tcPr>
            <w:tcW w:type="dxa" w:w="496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color w:val="1A1A2E"/>
                <w:sz w:val="20"/>
                <w:szCs w:val="20"/>
              </w:rPr>
              <w:t xml:space="preserve">Adjacent; booking + payment model proven in TH; does not cover pet services</w:t>
            </w:r>
          </w:p>
        </w:tc>
      </w:tr>
      <w:tr>
        <w:tc>
          <w:tcPr>
            <w:tcW w:type="dxa" w:w="220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color w:val="1A1A2E"/>
                <w:sz w:val="20"/>
                <w:szCs w:val="20"/>
              </w:rPr>
              <w:t xml:space="preserve">Google Maps</w:t>
            </w:r>
          </w:p>
        </w:tc>
        <w:tc>
          <w:tcPr>
            <w:tcW w:type="dxa" w:w="220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color w:val="1A1A2E"/>
                <w:sz w:val="20"/>
                <w:szCs w:val="20"/>
              </w:rPr>
              <w:t xml:space="preserve">Discovery</w:t>
            </w:r>
          </w:p>
        </w:tc>
        <w:tc>
          <w:tcPr>
            <w:tcW w:type="dxa" w:w="496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color w:val="1A1A2E"/>
                <w:sz w:val="20"/>
                <w:szCs w:val="20"/>
              </w:rPr>
              <w:t xml:space="preserve">Many pet salons listed; no booking capability; reviews unverified</w:t>
            </w:r>
          </w:p>
        </w:tc>
      </w:tr>
      <w:tr>
        <w:tc>
          <w:tcPr>
            <w:tcW w:type="dxa" w:w="220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color w:val="1A1A2E"/>
                <w:sz w:val="20"/>
                <w:szCs w:val="20"/>
              </w:rPr>
              <w:t xml:space="preserve">Rover (US)</w:t>
            </w:r>
          </w:p>
        </w:tc>
        <w:tc>
          <w:tcPr>
            <w:tcW w:type="dxa" w:w="220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color w:val="1A1A2E"/>
                <w:sz w:val="20"/>
                <w:szCs w:val="20"/>
              </w:rPr>
              <w:t xml:space="preserve">Pet care platform</w:t>
            </w:r>
          </w:p>
        </w:tc>
        <w:tc>
          <w:tcPr>
            <w:tcW w:type="dxa" w:w="496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color w:val="1A1A2E"/>
                <w:sz w:val="20"/>
                <w:szCs w:val="20"/>
              </w:rPr>
              <w:t xml:space="preserve">Benchmark for product quality and trust model; not available in TH</w:t>
            </w:r>
          </w:p>
        </w:tc>
      </w:tr>
      <w:tr>
        <w:tc>
          <w:tcPr>
            <w:tcW w:type="dxa" w:w="220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color w:val="1A1A2E"/>
                <w:sz w:val="20"/>
                <w:szCs w:val="20"/>
              </w:rPr>
              <w:t xml:space="preserve">Treatwell (EU)</w:t>
            </w:r>
          </w:p>
        </w:tc>
        <w:tc>
          <w:tcPr>
            <w:tcW w:type="dxa" w:w="220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color w:val="1A1A2E"/>
                <w:sz w:val="20"/>
                <w:szCs w:val="20"/>
              </w:rPr>
              <w:t xml:space="preserve">Beauty service marketplace</w:t>
            </w:r>
          </w:p>
        </w:tc>
        <w:tc>
          <w:tcPr>
            <w:tcW w:type="dxa" w:w="496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color w:val="1A1A2E"/>
                <w:sz w:val="20"/>
                <w:szCs w:val="20"/>
              </w:rPr>
              <w:t xml:space="preserve">Adjacent model (service marketplace + scheduling); not in APAC</w:t>
            </w:r>
          </w:p>
        </w:tc>
      </w:tr>
    </w:tbl>
    <w:p>
      <w:pPr>
        <w:spacing w:after="80" w:before="120"/>
      </w:pPr>
    </w:p>
    <w:p>
      <w:pPr>
        <w:pStyle w:val="Heading2"/>
        <w:spacing w:after="120" w:before="320"/>
      </w:pPr>
      <w:r>
        <w:rPr>
          <w:rFonts w:ascii="Arial" w:cs="Arial" w:eastAsia="Arial" w:hAnsi="Arial"/>
          <w:b/>
          <w:bCs/>
          <w:color w:val="0D7377"/>
          <w:sz w:val="28"/>
          <w:szCs w:val="28"/>
        </w:rPr>
        <w:t xml:space="preserve">5.3 Competitive Positioning</w:t>
      </w:r>
    </w:p>
    <w:p>
      <w:pPr>
        <w:spacing w:after="80" w:before="80" w:line="320"/>
      </w:pPr>
      <w:r>
        <w:rPr>
          <w:rFonts w:ascii="Arial" w:cs="Arial" w:eastAsia="Arial" w:hAnsi="Arial"/>
          <w:color w:val="1A1A2E"/>
          <w:sz w:val="22"/>
          <w:szCs w:val="22"/>
        </w:rPr>
        <w:t xml:space="preserve">Pawtal’s competitive advantage lies in the intersection of:</w:t>
      </w:r>
    </w:p>
    <w:p>
      <w:pPr>
        <w:pStyle w:val="ListParagraph"/>
        <w:numPr>
          <w:ilvl w:val="0"/>
          <w:numId w:val="2"/>
        </w:numPr>
        <w:spacing w:after="40" w:before="40"/>
      </w:pPr>
      <w:r>
        <w:rPr>
          <w:rFonts w:ascii="Arial" w:cs="Arial" w:eastAsia="Arial" w:hAnsi="Arial"/>
          <w:color w:val="1A1A2E"/>
          <w:sz w:val="22"/>
          <w:szCs w:val="22"/>
        </w:rPr>
        <w:t xml:space="preserve">Thai-first product built for local payment behaviour (PromptPay, top-up wallet)</w:t>
      </w:r>
    </w:p>
    <w:p>
      <w:pPr>
        <w:pStyle w:val="ListParagraph"/>
        <w:numPr>
          <w:ilvl w:val="0"/>
          <w:numId w:val="2"/>
        </w:numPr>
        <w:spacing w:after="40" w:before="40"/>
      </w:pPr>
      <w:r>
        <w:rPr>
          <w:rFonts w:ascii="Arial" w:cs="Arial" w:eastAsia="Arial" w:hAnsi="Arial"/>
          <w:color w:val="1A1A2E"/>
          <w:sz w:val="22"/>
          <w:szCs w:val="22"/>
        </w:rPr>
        <w:t xml:space="preserve">Provider-first onboarding: helping providers manage their business, not just appear in a listing</w:t>
      </w:r>
    </w:p>
    <w:p>
      <w:pPr>
        <w:pStyle w:val="ListParagraph"/>
        <w:numPr>
          <w:ilvl w:val="0"/>
          <w:numId w:val="2"/>
        </w:numPr>
        <w:spacing w:after="40" w:before="40"/>
      </w:pPr>
      <w:r>
        <w:rPr>
          <w:rFonts w:ascii="Arial" w:cs="Arial" w:eastAsia="Arial" w:hAnsi="Arial"/>
          <w:color w:val="1A1A2E"/>
          <w:sz w:val="22"/>
          <w:szCs w:val="22"/>
        </w:rPr>
        <w:t xml:space="preserve">Trust architecture: verified providers, real reviews, transparent pricing</w:t>
      </w:r>
    </w:p>
    <w:p>
      <w:pPr>
        <w:pStyle w:val="ListParagraph"/>
        <w:numPr>
          <w:ilvl w:val="0"/>
          <w:numId w:val="2"/>
        </w:numPr>
        <w:spacing w:after="40" w:before="40"/>
      </w:pPr>
      <w:r>
        <w:rPr>
          <w:rFonts w:ascii="Arial" w:cs="Arial" w:eastAsia="Arial" w:hAnsi="Arial"/>
          <w:color w:val="1A1A2E"/>
          <w:sz w:val="22"/>
          <w:szCs w:val="22"/>
        </w:rPr>
        <w:t xml:space="preserve">Mobile-first UX designed for Bangkok’s smartphone-dominant population</w:t>
      </w:r>
    </w:p>
    <w:p>
      <w:pPr>
        <w:pStyle w:val="ListParagraph"/>
        <w:numPr>
          <w:ilvl w:val="0"/>
          <w:numId w:val="2"/>
        </w:numPr>
        <w:spacing w:after="40" w:before="40"/>
      </w:pPr>
      <w:r>
        <w:rPr>
          <w:rFonts w:ascii="Arial" w:cs="Arial" w:eastAsia="Arial" w:hAnsi="Arial"/>
          <w:color w:val="1A1A2E"/>
          <w:sz w:val="22"/>
          <w:szCs w:val="22"/>
        </w:rPr>
        <w:t xml:space="preserve">B2B depth: business tools for providers (schedule management, client history, analytics) — not just a listing page</w:t>
      </w:r>
    </w:p>
    <w:p>
      <w:r>
        <w:br w:type="page"/>
      </w:r>
    </w:p>
    <w:p>
      <w:pPr>
        <w:pStyle w:val="Heading1"/>
        <w:pBdr>
          <w:bottom w:val="single" w:color="1A3C5E" w:sz="4" w:space="4"/>
        </w:pBdr>
        <w:spacing w:after="200" w:before="480"/>
      </w:pPr>
      <w:r>
        <w:rPr>
          <w:rFonts w:ascii="Arial" w:cs="Arial" w:eastAsia="Arial" w:hAnsi="Arial"/>
          <w:b/>
          <w:bCs/>
          <w:color w:val="1A3C5E"/>
          <w:sz w:val="36"/>
          <w:szCs w:val="36"/>
        </w:rPr>
        <w:t xml:space="preserve">6. Customer Pain Points &amp; Unmet Needs</w:t>
      </w:r>
    </w:p>
    <w:p>
      <w:pPr>
        <w:pStyle w:val="Heading2"/>
        <w:spacing w:after="120" w:before="320"/>
      </w:pPr>
      <w:r>
        <w:rPr>
          <w:rFonts w:ascii="Arial" w:cs="Arial" w:eastAsia="Arial" w:hAnsi="Arial"/>
          <w:b/>
          <w:bCs/>
          <w:color w:val="0D7377"/>
          <w:sz w:val="28"/>
          <w:szCs w:val="28"/>
        </w:rPr>
        <w:t xml:space="preserve">6.1 Pet Service Providers</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0D8E0" w:sz="1"/>
              <w:left w:val="single" w:color="D0D8E0" w:sz="1"/>
              <w:bottom w:val="single" w:color="D0D8E0" w:sz="1"/>
              <w:right w:val="single" w:color="D0D8E0"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Pain Point</w:t>
            </w:r>
          </w:p>
        </w:tc>
        <w:tc>
          <w:tcPr>
            <w:tcW w:type="dxa" w:w="4680"/>
            <w:tcBorders>
              <w:top w:val="single" w:color="D0D8E0" w:sz="1"/>
              <w:left w:val="single" w:color="D0D8E0" w:sz="1"/>
              <w:bottom w:val="single" w:color="D0D8E0" w:sz="1"/>
              <w:right w:val="single" w:color="D0D8E0"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Pawtal’s Solution</w:t>
            </w:r>
          </w:p>
        </w:tc>
      </w:tr>
      <w:tr>
        <w:tc>
          <w:tcPr>
            <w:tcW w:type="dxa" w:w="468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color w:val="1A1A2E"/>
                <w:sz w:val="20"/>
                <w:szCs w:val="20"/>
              </w:rPr>
              <w:t xml:space="preserve">Manual appointment booking via LINE = time-consuming and error-prone</w:t>
            </w:r>
          </w:p>
        </w:tc>
        <w:tc>
          <w:tcPr>
            <w:tcW w:type="dxa" w:w="468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color w:val="1A1A2E"/>
                <w:sz w:val="20"/>
                <w:szCs w:val="20"/>
              </w:rPr>
              <w:t xml:space="preserve">Automated booking system with real-time calendar</w:t>
            </w:r>
          </w:p>
        </w:tc>
      </w:tr>
      <w:tr>
        <w:tc>
          <w:tcPr>
            <w:tcW w:type="dxa" w:w="468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color w:val="1A1A2E"/>
                <w:sz w:val="20"/>
                <w:szCs w:val="20"/>
              </w:rPr>
              <w:t xml:space="preserve">No centralized client database or pet history</w:t>
            </w:r>
          </w:p>
        </w:tc>
        <w:tc>
          <w:tcPr>
            <w:tcW w:type="dxa" w:w="468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color w:val="1A1A2E"/>
                <w:sz w:val="20"/>
                <w:szCs w:val="20"/>
              </w:rPr>
              <w:t xml:space="preserve">Provider dashboard with client profiles and pet grooming records</w:t>
            </w:r>
          </w:p>
        </w:tc>
      </w:tr>
      <w:tr>
        <w:tc>
          <w:tcPr>
            <w:tcW w:type="dxa" w:w="468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color w:val="1A1A2E"/>
                <w:sz w:val="20"/>
                <w:szCs w:val="20"/>
              </w:rPr>
              <w:t xml:space="preserve">Difficult to reach new clients beyond word-of-mouth</w:t>
            </w:r>
          </w:p>
        </w:tc>
        <w:tc>
          <w:tcPr>
            <w:tcW w:type="dxa" w:w="468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color w:val="1A1A2E"/>
                <w:sz w:val="20"/>
                <w:szCs w:val="20"/>
              </w:rPr>
              <w:t xml:space="preserve">Discovery platform with map and search; marketing tools</w:t>
            </w:r>
          </w:p>
        </w:tc>
      </w:tr>
      <w:tr>
        <w:tc>
          <w:tcPr>
            <w:tcW w:type="dxa" w:w="468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color w:val="1A1A2E"/>
                <w:sz w:val="20"/>
                <w:szCs w:val="20"/>
              </w:rPr>
              <w:t xml:space="preserve">No-shows and last-minute cancellations hurt revenue</w:t>
            </w:r>
          </w:p>
        </w:tc>
        <w:tc>
          <w:tcPr>
            <w:tcW w:type="dxa" w:w="468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color w:val="1A1A2E"/>
                <w:sz w:val="20"/>
                <w:szCs w:val="20"/>
              </w:rPr>
              <w:t xml:space="preserve">Automated reminders; deposit/cancellation policy tools</w:t>
            </w:r>
          </w:p>
        </w:tc>
      </w:tr>
      <w:tr>
        <w:tc>
          <w:tcPr>
            <w:tcW w:type="dxa" w:w="468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color w:val="1A1A2E"/>
                <w:sz w:val="20"/>
                <w:szCs w:val="20"/>
              </w:rPr>
              <w:t xml:space="preserve">Inconsistent revenue; hard to forecast</w:t>
            </w:r>
          </w:p>
        </w:tc>
        <w:tc>
          <w:tcPr>
            <w:tcW w:type="dxa" w:w="468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color w:val="1A1A2E"/>
                <w:sz w:val="20"/>
                <w:szCs w:val="20"/>
              </w:rPr>
              <w:t xml:space="preserve">Booking analytics; subscription view of repeat clients</w:t>
            </w:r>
          </w:p>
        </w:tc>
      </w:tr>
      <w:tr>
        <w:tc>
          <w:tcPr>
            <w:tcW w:type="dxa" w:w="468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color w:val="1A1A2E"/>
                <w:sz w:val="20"/>
                <w:szCs w:val="20"/>
              </w:rPr>
              <w:t xml:space="preserve">Hard to compete with large pet shops and chains</w:t>
            </w:r>
          </w:p>
        </w:tc>
        <w:tc>
          <w:tcPr>
            <w:tcW w:type="dxa" w:w="468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color w:val="1A1A2E"/>
                <w:sz w:val="20"/>
                <w:szCs w:val="20"/>
              </w:rPr>
              <w:t xml:space="preserve">Level playing field via verified badges and review system</w:t>
            </w:r>
          </w:p>
        </w:tc>
      </w:tr>
    </w:tbl>
    <w:p>
      <w:pPr>
        <w:spacing w:after="80" w:before="200"/>
      </w:pPr>
    </w:p>
    <w:p>
      <w:pPr>
        <w:pStyle w:val="Heading2"/>
        <w:spacing w:after="120" w:before="320"/>
      </w:pPr>
      <w:r>
        <w:rPr>
          <w:rFonts w:ascii="Arial" w:cs="Arial" w:eastAsia="Arial" w:hAnsi="Arial"/>
          <w:b/>
          <w:bCs/>
          <w:color w:val="0D7377"/>
          <w:sz w:val="28"/>
          <w:szCs w:val="28"/>
        </w:rPr>
        <w:t xml:space="preserve">6.2 Pet Owners (Customers)</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0D8E0" w:sz="1"/>
              <w:left w:val="single" w:color="D0D8E0" w:sz="1"/>
              <w:bottom w:val="single" w:color="D0D8E0" w:sz="1"/>
              <w:right w:val="single" w:color="D0D8E0"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Pain Point</w:t>
            </w:r>
          </w:p>
        </w:tc>
        <w:tc>
          <w:tcPr>
            <w:tcW w:type="dxa" w:w="4680"/>
            <w:tcBorders>
              <w:top w:val="single" w:color="D0D8E0" w:sz="1"/>
              <w:left w:val="single" w:color="D0D8E0" w:sz="1"/>
              <w:bottom w:val="single" w:color="D0D8E0" w:sz="1"/>
              <w:right w:val="single" w:color="D0D8E0"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Pawtal’s Solution</w:t>
            </w:r>
          </w:p>
        </w:tc>
      </w:tr>
      <w:tr>
        <w:tc>
          <w:tcPr>
            <w:tcW w:type="dxa" w:w="468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color w:val="1A1A2E"/>
                <w:sz w:val="20"/>
                <w:szCs w:val="20"/>
              </w:rPr>
              <w:t xml:space="preserve">Can’t find trusted groomers beyond personal referrals</w:t>
            </w:r>
          </w:p>
        </w:tc>
        <w:tc>
          <w:tcPr>
            <w:tcW w:type="dxa" w:w="468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color w:val="1A1A2E"/>
                <w:sz w:val="20"/>
                <w:szCs w:val="20"/>
              </w:rPr>
              <w:t xml:space="preserve">Verified provider profiles with reviews and photos</w:t>
            </w:r>
          </w:p>
        </w:tc>
      </w:tr>
      <w:tr>
        <w:tc>
          <w:tcPr>
            <w:tcW w:type="dxa" w:w="468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color w:val="1A1A2E"/>
                <w:sz w:val="20"/>
                <w:szCs w:val="20"/>
              </w:rPr>
              <w:t xml:space="preserve">No transparent pricing — must DM to ask</w:t>
            </w:r>
          </w:p>
        </w:tc>
        <w:tc>
          <w:tcPr>
            <w:tcW w:type="dxa" w:w="468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color w:val="1A1A2E"/>
                <w:sz w:val="20"/>
                <w:szCs w:val="20"/>
              </w:rPr>
              <w:t xml:space="preserve">Standardised service menus with pricing displayed upfront</w:t>
            </w:r>
          </w:p>
        </w:tc>
      </w:tr>
      <w:tr>
        <w:tc>
          <w:tcPr>
            <w:tcW w:type="dxa" w:w="468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color w:val="1A1A2E"/>
                <w:sz w:val="20"/>
                <w:szCs w:val="20"/>
              </w:rPr>
              <w:t xml:space="preserve">No online booking — must call or WhatsApp</w:t>
            </w:r>
          </w:p>
        </w:tc>
        <w:tc>
          <w:tcPr>
            <w:tcW w:type="dxa" w:w="468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color w:val="1A1A2E"/>
                <w:sz w:val="20"/>
                <w:szCs w:val="20"/>
              </w:rPr>
              <w:t xml:space="preserve">Real-time availability booking in-app</w:t>
            </w:r>
          </w:p>
        </w:tc>
      </w:tr>
      <w:tr>
        <w:tc>
          <w:tcPr>
            <w:tcW w:type="dxa" w:w="468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color w:val="1A1A2E"/>
                <w:sz w:val="20"/>
                <w:szCs w:val="20"/>
              </w:rPr>
              <w:t xml:space="preserve">Payment is cash or bank transfer — inconvenient</w:t>
            </w:r>
          </w:p>
        </w:tc>
        <w:tc>
          <w:tcPr>
            <w:tcW w:type="dxa" w:w="468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color w:val="1A1A2E"/>
                <w:sz w:val="20"/>
                <w:szCs w:val="20"/>
              </w:rPr>
              <w:t xml:space="preserve">Credit top-up wallet; PromptPay integration</w:t>
            </w:r>
          </w:p>
        </w:tc>
      </w:tr>
      <w:tr>
        <w:tc>
          <w:tcPr>
            <w:tcW w:type="dxa" w:w="468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color w:val="1A1A2E"/>
                <w:sz w:val="20"/>
                <w:szCs w:val="20"/>
              </w:rPr>
              <w:t xml:space="preserve">No grooming history for pet — repeat info every visit</w:t>
            </w:r>
          </w:p>
        </w:tc>
        <w:tc>
          <w:tcPr>
            <w:tcW w:type="dxa" w:w="468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color w:val="1A1A2E"/>
                <w:sz w:val="20"/>
                <w:szCs w:val="20"/>
              </w:rPr>
              <w:t xml:space="preserve">Pet profile with grooming and health notes</w:t>
            </w:r>
          </w:p>
        </w:tc>
      </w:tr>
    </w:tbl>
    <w:p>
      <w:r>
        <w:br w:type="page"/>
      </w:r>
    </w:p>
    <w:p>
      <w:pPr>
        <w:pStyle w:val="Heading1"/>
        <w:pBdr>
          <w:bottom w:val="single" w:color="1A3C5E" w:sz="4" w:space="4"/>
        </w:pBdr>
        <w:spacing w:after="200" w:before="480"/>
      </w:pPr>
      <w:r>
        <w:rPr>
          <w:rFonts w:ascii="Arial" w:cs="Arial" w:eastAsia="Arial" w:hAnsi="Arial"/>
          <w:b/>
          <w:bCs/>
          <w:color w:val="1A3C5E"/>
          <w:sz w:val="36"/>
          <w:szCs w:val="36"/>
        </w:rPr>
        <w:t xml:space="preserve">7. Market Trends &amp; Tailwinds</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0D8E0" w:sz="1"/>
              <w:left w:val="single" w:color="D0D8E0" w:sz="1"/>
              <w:bottom w:val="single" w:color="D0D8E0" w:sz="1"/>
              <w:right w:val="single" w:color="D0D8E0"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Trend</w:t>
            </w:r>
          </w:p>
        </w:tc>
        <w:tc>
          <w:tcPr>
            <w:tcW w:type="dxa" w:w="6360"/>
            <w:tcBorders>
              <w:top w:val="single" w:color="D0D8E0" w:sz="1"/>
              <w:left w:val="single" w:color="D0D8E0" w:sz="1"/>
              <w:bottom w:val="single" w:color="D0D8E0" w:sz="1"/>
              <w:right w:val="single" w:color="D0D8E0"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Implication for Pawtal</w:t>
            </w:r>
          </w:p>
        </w:tc>
      </w:tr>
      <w:tr>
        <w:tc>
          <w:tcPr>
            <w:tcW w:type="dxa" w:w="300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color w:val="1A1A2E"/>
                <w:sz w:val="20"/>
                <w:szCs w:val="20"/>
              </w:rPr>
              <w:t xml:space="preserve">Humanisation of pets</w:t>
            </w:r>
          </w:p>
        </w:tc>
        <w:tc>
          <w:tcPr>
            <w:tcW w:type="dxa" w:w="636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color w:val="1A1A2E"/>
                <w:sz w:val="20"/>
                <w:szCs w:val="20"/>
              </w:rPr>
              <w:t xml:space="preserve">Pet owners increasingly treat pets as children — premium grooming, specialist services, and wellness are growing categories Pawtal can expand into post-MVP.</w:t>
            </w:r>
          </w:p>
        </w:tc>
      </w:tr>
      <w:tr>
        <w:tc>
          <w:tcPr>
            <w:tcW w:type="dxa" w:w="300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color w:val="1A1A2E"/>
                <w:sz w:val="20"/>
                <w:szCs w:val="20"/>
              </w:rPr>
              <w:t xml:space="preserve">Rise of premium pet services</w:t>
            </w:r>
          </w:p>
        </w:tc>
        <w:tc>
          <w:tcPr>
            <w:tcW w:type="dxa" w:w="636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color w:val="1A1A2E"/>
                <w:sz w:val="20"/>
                <w:szCs w:val="20"/>
              </w:rPr>
              <w:t xml:space="preserve">Pet spa, teeth cleaning, aromatherapy grooming — higher-value bookings mean better GMV per transaction.</w:t>
            </w:r>
          </w:p>
        </w:tc>
      </w:tr>
      <w:tr>
        <w:tc>
          <w:tcPr>
            <w:tcW w:type="dxa" w:w="300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color w:val="1A1A2E"/>
                <w:sz w:val="20"/>
                <w:szCs w:val="20"/>
              </w:rPr>
              <w:t xml:space="preserve">Mobile-first booking behaviour</w:t>
            </w:r>
          </w:p>
        </w:tc>
        <w:tc>
          <w:tcPr>
            <w:tcW w:type="dxa" w:w="636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color w:val="1A1A2E"/>
                <w:sz w:val="20"/>
                <w:szCs w:val="20"/>
              </w:rPr>
              <w:t xml:space="preserve">Thai users are smartphone-first. An app-quality mobile web experience is a baseline expectation, not a differentiator.</w:t>
            </w:r>
          </w:p>
        </w:tc>
      </w:tr>
      <w:tr>
        <w:tc>
          <w:tcPr>
            <w:tcW w:type="dxa" w:w="300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color w:val="1A1A2E"/>
                <w:sz w:val="20"/>
                <w:szCs w:val="20"/>
              </w:rPr>
              <w:t xml:space="preserve">Digital wallet adoption</w:t>
            </w:r>
          </w:p>
        </w:tc>
        <w:tc>
          <w:tcPr>
            <w:tcW w:type="dxa" w:w="636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color w:val="1A1A2E"/>
                <w:sz w:val="20"/>
                <w:szCs w:val="20"/>
              </w:rPr>
              <w:t xml:space="preserve">PromptPay and e-wallet adoption surpassed credit cards in Thailand. Top-up wallet design aligns perfectly with existing behaviour.</w:t>
            </w:r>
          </w:p>
        </w:tc>
      </w:tr>
      <w:tr>
        <w:tc>
          <w:tcPr>
            <w:tcW w:type="dxa" w:w="300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color w:val="1A1A2E"/>
                <w:sz w:val="20"/>
                <w:szCs w:val="20"/>
              </w:rPr>
              <w:t xml:space="preserve">Urban pet adoption surge</w:t>
            </w:r>
          </w:p>
        </w:tc>
        <w:tc>
          <w:tcPr>
            <w:tcW w:type="dxa" w:w="636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color w:val="1A1A2E"/>
                <w:sz w:val="20"/>
                <w:szCs w:val="20"/>
              </w:rPr>
              <w:t xml:space="preserve">Post-pandemic pet ownership in Bangkok condos has created a new generation of first-time pet owners — less brand-loyal and more willing to try new apps.</w:t>
            </w:r>
          </w:p>
        </w:tc>
      </w:tr>
      <w:tr>
        <w:tc>
          <w:tcPr>
            <w:tcW w:type="dxa" w:w="300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color w:val="1A1A2E"/>
                <w:sz w:val="20"/>
                <w:szCs w:val="20"/>
              </w:rPr>
              <w:t xml:space="preserve">Gig economy in pet care</w:t>
            </w:r>
          </w:p>
        </w:tc>
        <w:tc>
          <w:tcPr>
            <w:tcW w:type="dxa" w:w="636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color w:val="1A1A2E"/>
                <w:sz w:val="20"/>
                <w:szCs w:val="20"/>
              </w:rPr>
              <w:t xml:space="preserve">Mobile groomers (at-home service) are the fastest-growing provider segment — Pawtal can differentiate by supporting this model from day one.</w:t>
            </w:r>
          </w:p>
        </w:tc>
      </w:tr>
      <w:tr>
        <w:tc>
          <w:tcPr>
            <w:tcW w:type="dxa" w:w="300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color w:val="1A1A2E"/>
                <w:sz w:val="20"/>
                <w:szCs w:val="20"/>
              </w:rPr>
              <w:t xml:space="preserve">Trust economy in services</w:t>
            </w:r>
          </w:p>
        </w:tc>
        <w:tc>
          <w:tcPr>
            <w:tcW w:type="dxa" w:w="636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color w:val="1A1A2E"/>
                <w:sz w:val="20"/>
                <w:szCs w:val="20"/>
              </w:rPr>
              <w:t xml:space="preserve">Verified reviews and credentials are increasingly important to Thai urban consumers following high-profile service fraud cases.</w:t>
            </w:r>
          </w:p>
        </w:tc>
      </w:tr>
    </w:tbl>
    <w:p>
      <w:r>
        <w:br w:type="page"/>
      </w:r>
    </w:p>
    <w:p>
      <w:pPr>
        <w:pStyle w:val="Heading1"/>
        <w:pBdr>
          <w:bottom w:val="single" w:color="1A3C5E" w:sz="4" w:space="4"/>
        </w:pBdr>
        <w:spacing w:after="200" w:before="480"/>
      </w:pPr>
      <w:r>
        <w:rPr>
          <w:rFonts w:ascii="Arial" w:cs="Arial" w:eastAsia="Arial" w:hAnsi="Arial"/>
          <w:b/>
          <w:bCs/>
          <w:color w:val="1A3C5E"/>
          <w:sz w:val="36"/>
          <w:szCs w:val="36"/>
        </w:rPr>
        <w:t xml:space="preserve">8. Risks &amp; Challenges</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200"/>
        <w:gridCol w:w="4160"/>
      </w:tblGrid>
      <w:tr>
        <w:trPr>
          <w:tblHeader/>
        </w:trPr>
        <w:tc>
          <w:tcPr>
            <w:tcW w:type="dxa" w:w="2800"/>
            <w:tcBorders>
              <w:top w:val="single" w:color="D0D8E0" w:sz="1"/>
              <w:left w:val="single" w:color="D0D8E0" w:sz="1"/>
              <w:bottom w:val="single" w:color="D0D8E0" w:sz="1"/>
              <w:right w:val="single" w:color="D0D8E0"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Risk</w:t>
            </w:r>
          </w:p>
        </w:tc>
        <w:tc>
          <w:tcPr>
            <w:tcW w:type="dxa" w:w="1200"/>
            <w:tcBorders>
              <w:top w:val="single" w:color="D0D8E0" w:sz="1"/>
              <w:left w:val="single" w:color="D0D8E0" w:sz="1"/>
              <w:bottom w:val="single" w:color="D0D8E0" w:sz="1"/>
              <w:right w:val="single" w:color="D0D8E0"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Impact</w:t>
            </w:r>
          </w:p>
        </w:tc>
        <w:tc>
          <w:tcPr>
            <w:tcW w:type="dxa" w:w="1200"/>
            <w:tcBorders>
              <w:top w:val="single" w:color="D0D8E0" w:sz="1"/>
              <w:left w:val="single" w:color="D0D8E0" w:sz="1"/>
              <w:bottom w:val="single" w:color="D0D8E0" w:sz="1"/>
              <w:right w:val="single" w:color="D0D8E0"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Likelihood</w:t>
            </w:r>
          </w:p>
        </w:tc>
        <w:tc>
          <w:tcPr>
            <w:tcW w:type="dxa" w:w="4160"/>
            <w:tcBorders>
              <w:top w:val="single" w:color="D0D8E0" w:sz="1"/>
              <w:left w:val="single" w:color="D0D8E0" w:sz="1"/>
              <w:bottom w:val="single" w:color="D0D8E0" w:sz="1"/>
              <w:right w:val="single" w:color="D0D8E0"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Mitigation</w:t>
            </w:r>
          </w:p>
        </w:tc>
      </w:tr>
      <w:tr>
        <w:tc>
          <w:tcPr>
            <w:tcW w:type="dxa" w:w="280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color w:val="1A1A2E"/>
                <w:sz w:val="20"/>
                <w:szCs w:val="20"/>
              </w:rPr>
              <w:t xml:space="preserve">Low provider uptake in MVP#1</w:t>
            </w:r>
          </w:p>
        </w:tc>
        <w:tc>
          <w:tcPr>
            <w:tcW w:type="dxa" w:w="120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color w:val="1A1A2E"/>
                <w:sz w:val="20"/>
                <w:szCs w:val="20"/>
              </w:rPr>
              <w:t xml:space="preserve">High</w:t>
            </w:r>
          </w:p>
        </w:tc>
        <w:tc>
          <w:tcPr>
            <w:tcW w:type="dxa" w:w="120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color w:val="1A1A2E"/>
                <w:sz w:val="20"/>
                <w:szCs w:val="20"/>
              </w:rPr>
              <w:t xml:space="preserve">Medium</w:t>
            </w:r>
          </w:p>
        </w:tc>
        <w:tc>
          <w:tcPr>
            <w:tcW w:type="dxa" w:w="416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color w:val="1A1A2E"/>
                <w:sz w:val="20"/>
                <w:szCs w:val="20"/>
              </w:rPr>
              <w:t xml:space="preserve">Focused B2B outreach; free trial period; simple onboarding form; business team relationship-building</w:t>
            </w:r>
          </w:p>
        </w:tc>
      </w:tr>
      <w:tr>
        <w:tc>
          <w:tcPr>
            <w:tcW w:type="dxa" w:w="280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color w:val="1A1A2E"/>
                <w:sz w:val="20"/>
                <w:szCs w:val="20"/>
              </w:rPr>
              <w:t xml:space="preserve">Market education barrier — providers unfamiliar with platform model</w:t>
            </w:r>
          </w:p>
        </w:tc>
        <w:tc>
          <w:tcPr>
            <w:tcW w:type="dxa" w:w="120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color w:val="1A1A2E"/>
                <w:sz w:val="20"/>
                <w:szCs w:val="20"/>
              </w:rPr>
              <w:t xml:space="preserve">Medium</w:t>
            </w:r>
          </w:p>
        </w:tc>
        <w:tc>
          <w:tcPr>
            <w:tcW w:type="dxa" w:w="120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color w:val="1A1A2E"/>
                <w:sz w:val="20"/>
                <w:szCs w:val="20"/>
              </w:rPr>
              <w:t xml:space="preserve">High</w:t>
            </w:r>
          </w:p>
        </w:tc>
        <w:tc>
          <w:tcPr>
            <w:tcW w:type="dxa" w:w="416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color w:val="1A1A2E"/>
                <w:sz w:val="20"/>
                <w:szCs w:val="20"/>
              </w:rPr>
              <w:t xml:space="preserve">Clear value proposition on landing page; ROI calculator; testimonials from early adopters</w:t>
            </w:r>
          </w:p>
        </w:tc>
      </w:tr>
      <w:tr>
        <w:tc>
          <w:tcPr>
            <w:tcW w:type="dxa" w:w="280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color w:val="1A1A2E"/>
                <w:sz w:val="20"/>
                <w:szCs w:val="20"/>
              </w:rPr>
              <w:t xml:space="preserve">Chicken-and-egg problem — customers won’t come without providers</w:t>
            </w:r>
          </w:p>
        </w:tc>
        <w:tc>
          <w:tcPr>
            <w:tcW w:type="dxa" w:w="120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color w:val="1A1A2E"/>
                <w:sz w:val="20"/>
                <w:szCs w:val="20"/>
              </w:rPr>
              <w:t xml:space="preserve">High</w:t>
            </w:r>
          </w:p>
        </w:tc>
        <w:tc>
          <w:tcPr>
            <w:tcW w:type="dxa" w:w="120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color w:val="1A1A2E"/>
                <w:sz w:val="20"/>
                <w:szCs w:val="20"/>
              </w:rPr>
              <w:t xml:space="preserve">High</w:t>
            </w:r>
          </w:p>
        </w:tc>
        <w:tc>
          <w:tcPr>
            <w:tcW w:type="dxa" w:w="416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color w:val="1A1A2E"/>
                <w:sz w:val="20"/>
                <w:szCs w:val="20"/>
              </w:rPr>
              <w:t xml:space="preserve">Provider-first MVP strategy directly addresses this — launch to customers only after 20+ verified providers on-boarded</w:t>
            </w:r>
          </w:p>
        </w:tc>
      </w:tr>
      <w:tr>
        <w:tc>
          <w:tcPr>
            <w:tcW w:type="dxa" w:w="280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color w:val="1A1A2E"/>
                <w:sz w:val="20"/>
                <w:szCs w:val="20"/>
              </w:rPr>
              <w:t xml:space="preserve">Competition from large regional players entering Thailand</w:t>
            </w:r>
          </w:p>
        </w:tc>
        <w:tc>
          <w:tcPr>
            <w:tcW w:type="dxa" w:w="120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color w:val="1A1A2E"/>
                <w:sz w:val="20"/>
                <w:szCs w:val="20"/>
              </w:rPr>
              <w:t xml:space="preserve">High</w:t>
            </w:r>
          </w:p>
        </w:tc>
        <w:tc>
          <w:tcPr>
            <w:tcW w:type="dxa" w:w="120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color w:val="1A1A2E"/>
                <w:sz w:val="20"/>
                <w:szCs w:val="20"/>
              </w:rPr>
              <w:t xml:space="preserve">Low (Y1)</w:t>
            </w:r>
          </w:p>
        </w:tc>
        <w:tc>
          <w:tcPr>
            <w:tcW w:type="dxa" w:w="416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color w:val="1A1A2E"/>
                <w:sz w:val="20"/>
                <w:szCs w:val="20"/>
              </w:rPr>
              <w:t xml:space="preserve">Speed advantage; local market knowledge; Thai-first product design; build strong provider loyalty early</w:t>
            </w:r>
          </w:p>
        </w:tc>
      </w:tr>
      <w:tr>
        <w:tc>
          <w:tcPr>
            <w:tcW w:type="dxa" w:w="280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color w:val="1A1A2E"/>
                <w:sz w:val="20"/>
                <w:szCs w:val="20"/>
              </w:rPr>
              <w:t xml:space="preserve">Payment trust — customers reluctant to top up credit on new platform</w:t>
            </w:r>
          </w:p>
        </w:tc>
        <w:tc>
          <w:tcPr>
            <w:tcW w:type="dxa" w:w="120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color w:val="1A1A2E"/>
                <w:sz w:val="20"/>
                <w:szCs w:val="20"/>
              </w:rPr>
              <w:t xml:space="preserve">Medium</w:t>
            </w:r>
          </w:p>
        </w:tc>
        <w:tc>
          <w:tcPr>
            <w:tcW w:type="dxa" w:w="120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color w:val="1A1A2E"/>
                <w:sz w:val="20"/>
                <w:szCs w:val="20"/>
              </w:rPr>
              <w:t xml:space="preserve">Medium</w:t>
            </w:r>
          </w:p>
        </w:tc>
        <w:tc>
          <w:tcPr>
            <w:tcW w:type="dxa" w:w="416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color w:val="1A1A2E"/>
                <w:sz w:val="20"/>
                <w:szCs w:val="20"/>
              </w:rPr>
              <w:t xml:space="preserve">Start with PromptPay direct payment option; introduce wallet top-up after trust is established in MVP#2</w:t>
            </w:r>
          </w:p>
        </w:tc>
      </w:tr>
      <w:tr>
        <w:tc>
          <w:tcPr>
            <w:tcW w:type="dxa" w:w="280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color w:val="1A1A2E"/>
                <w:sz w:val="20"/>
                <w:szCs w:val="20"/>
              </w:rPr>
              <w:t xml:space="preserve">Quality control — bad provider experience damages brand</w:t>
            </w:r>
          </w:p>
        </w:tc>
        <w:tc>
          <w:tcPr>
            <w:tcW w:type="dxa" w:w="120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color w:val="1A1A2E"/>
                <w:sz w:val="20"/>
                <w:szCs w:val="20"/>
              </w:rPr>
              <w:t xml:space="preserve">High</w:t>
            </w:r>
          </w:p>
        </w:tc>
        <w:tc>
          <w:tcPr>
            <w:tcW w:type="dxa" w:w="120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color w:val="1A1A2E"/>
                <w:sz w:val="20"/>
                <w:szCs w:val="20"/>
              </w:rPr>
              <w:t xml:space="preserve">Medium</w:t>
            </w:r>
          </w:p>
        </w:tc>
        <w:tc>
          <w:tcPr>
            <w:tcW w:type="dxa" w:w="416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color w:val="1A1A2E"/>
                <w:sz w:val="20"/>
                <w:szCs w:val="20"/>
              </w:rPr>
              <w:t xml:space="preserve">Verification process for providers; 2-way review system; clear service standards; rapid response complaints process</w:t>
            </w:r>
          </w:p>
        </w:tc>
      </w:tr>
    </w:tbl>
    <w:p>
      <w:r>
        <w:br w:type="page"/>
      </w:r>
    </w:p>
    <w:p>
      <w:pPr>
        <w:pStyle w:val="Heading1"/>
        <w:pBdr>
          <w:bottom w:val="single" w:color="1A3C5E" w:sz="4" w:space="4"/>
        </w:pBdr>
        <w:spacing w:after="200" w:before="480"/>
      </w:pPr>
      <w:r>
        <w:rPr>
          <w:rFonts w:ascii="Arial" w:cs="Arial" w:eastAsia="Arial" w:hAnsi="Arial"/>
          <w:b/>
          <w:bCs/>
          <w:color w:val="1A3C5E"/>
          <w:sz w:val="36"/>
          <w:szCs w:val="36"/>
        </w:rPr>
        <w:t xml:space="preserve">9. Strategic Recommendation</w:t>
      </w:r>
    </w:p>
    <w:p>
      <w:pPr>
        <w:pStyle w:val="Heading2"/>
        <w:spacing w:after="120" w:before="320"/>
      </w:pPr>
      <w:r>
        <w:rPr>
          <w:rFonts w:ascii="Arial" w:cs="Arial" w:eastAsia="Arial" w:hAnsi="Arial"/>
          <w:b/>
          <w:bCs/>
          <w:color w:val="0D7377"/>
          <w:sz w:val="28"/>
          <w:szCs w:val="28"/>
        </w:rPr>
        <w:t xml:space="preserve">9.1 Why Sukhumvit Is the Right Starting Area</w:t>
      </w:r>
    </w:p>
    <w:p>
      <w:pPr>
        <w:pStyle w:val="ListParagraph"/>
        <w:numPr>
          <w:ilvl w:val="0"/>
          <w:numId w:val="2"/>
        </w:numPr>
        <w:spacing w:after="40" w:before="40"/>
      </w:pPr>
      <w:r>
        <w:rPr>
          <w:rFonts w:ascii="Arial" w:cs="Arial" w:eastAsia="Arial" w:hAnsi="Arial"/>
          <w:color w:val="1A1A2E"/>
          <w:sz w:val="22"/>
          <w:szCs w:val="22"/>
        </w:rPr>
        <w:t xml:space="preserve">Highest concentration of urban, young, tech-savvy pet owners in Bangkok.</w:t>
      </w:r>
    </w:p>
    <w:p>
      <w:pPr>
        <w:pStyle w:val="ListParagraph"/>
        <w:numPr>
          <w:ilvl w:val="0"/>
          <w:numId w:val="2"/>
        </w:numPr>
        <w:spacing w:after="40" w:before="40"/>
      </w:pPr>
      <w:r>
        <w:rPr>
          <w:rFonts w:ascii="Arial" w:cs="Arial" w:eastAsia="Arial" w:hAnsi="Arial"/>
          <w:color w:val="1A1A2E"/>
          <w:sz w:val="22"/>
          <w:szCs w:val="22"/>
        </w:rPr>
        <w:t xml:space="preserve">Highest density of professional pet groomers and pet salons per square kilometre.</w:t>
      </w:r>
    </w:p>
    <w:p>
      <w:pPr>
        <w:pStyle w:val="ListParagraph"/>
        <w:numPr>
          <w:ilvl w:val="0"/>
          <w:numId w:val="2"/>
        </w:numPr>
        <w:spacing w:after="40" w:before="40"/>
      </w:pPr>
      <w:r>
        <w:rPr>
          <w:rFonts w:ascii="Arial" w:cs="Arial" w:eastAsia="Arial" w:hAnsi="Arial"/>
          <w:color w:val="1A1A2E"/>
          <w:sz w:val="22"/>
          <w:szCs w:val="22"/>
        </w:rPr>
        <w:t xml:space="preserve">Premium spending power: average income above Bangkok average; willingness to pay for convenience is highest.</w:t>
      </w:r>
    </w:p>
    <w:p>
      <w:pPr>
        <w:pStyle w:val="ListParagraph"/>
        <w:numPr>
          <w:ilvl w:val="0"/>
          <w:numId w:val="2"/>
        </w:numPr>
        <w:spacing w:after="40" w:before="40"/>
      </w:pPr>
      <w:r>
        <w:rPr>
          <w:rFonts w:ascii="Arial" w:cs="Arial" w:eastAsia="Arial" w:hAnsi="Arial"/>
          <w:color w:val="1A1A2E"/>
          <w:sz w:val="22"/>
          <w:szCs w:val="22"/>
        </w:rPr>
        <w:t xml:space="preserve">Strong BTS connectivity allows easy navigation for both pet owners and mobile groomers.</w:t>
      </w:r>
    </w:p>
    <w:p>
      <w:pPr>
        <w:pStyle w:val="ListParagraph"/>
        <w:numPr>
          <w:ilvl w:val="0"/>
          <w:numId w:val="2"/>
        </w:numPr>
        <w:spacing w:after="40" w:before="40"/>
      </w:pPr>
      <w:r>
        <w:rPr>
          <w:rFonts w:ascii="Arial" w:cs="Arial" w:eastAsia="Arial" w:hAnsi="Arial"/>
          <w:color w:val="1A1A2E"/>
          <w:sz w:val="22"/>
          <w:szCs w:val="22"/>
        </w:rPr>
        <w:t xml:space="preserve">Significant expat community familiar with app-based service booking (Rover, Treatwell, etc.) — potential early adopters and vocal advocates.</w:t>
      </w:r>
    </w:p>
    <w:p>
      <w:pPr>
        <w:spacing w:after="80" w:before="120"/>
      </w:pPr>
    </w:p>
    <w:p>
      <w:pPr>
        <w:pStyle w:val="Heading2"/>
        <w:spacing w:after="120" w:before="320"/>
      </w:pPr>
      <w:r>
        <w:rPr>
          <w:rFonts w:ascii="Arial" w:cs="Arial" w:eastAsia="Arial" w:hAnsi="Arial"/>
          <w:b/>
          <w:bCs/>
          <w:color w:val="0D7377"/>
          <w:sz w:val="28"/>
          <w:szCs w:val="28"/>
        </w:rPr>
        <w:t xml:space="preserve">9.2 Why Provider-First (B2B) Is the Right MVP Strategy</w:t>
      </w:r>
    </w:p>
    <w:p>
      <w:pPr>
        <w:pStyle w:val="ListParagraph"/>
        <w:numPr>
          <w:ilvl w:val="0"/>
          <w:numId w:val="2"/>
        </w:numPr>
        <w:spacing w:after="40" w:before="40"/>
      </w:pPr>
      <w:r>
        <w:rPr>
          <w:rFonts w:ascii="Arial" w:cs="Arial" w:eastAsia="Arial" w:hAnsi="Arial"/>
          <w:color w:val="1A1A2E"/>
          <w:sz w:val="22"/>
          <w:szCs w:val="22"/>
        </w:rPr>
        <w:t xml:space="preserve">Solves the chicken-and-egg problem: a well-stocked marketplace with high-quality providers is the prerequisite for customer acquisition.</w:t>
      </w:r>
    </w:p>
    <w:p>
      <w:pPr>
        <w:pStyle w:val="ListParagraph"/>
        <w:numPr>
          <w:ilvl w:val="0"/>
          <w:numId w:val="2"/>
        </w:numPr>
        <w:spacing w:after="40" w:before="40"/>
      </w:pPr>
      <w:r>
        <w:rPr>
          <w:rFonts w:ascii="Arial" w:cs="Arial" w:eastAsia="Arial" w:hAnsi="Arial"/>
          <w:color w:val="1A1A2E"/>
          <w:sz w:val="22"/>
          <w:szCs w:val="22"/>
        </w:rPr>
        <w:t xml:space="preserve">Providers are easier to reach via direct B2B outreach than consumers — lower CAC for MVP#1.</w:t>
      </w:r>
    </w:p>
    <w:p>
      <w:pPr>
        <w:pStyle w:val="ListParagraph"/>
        <w:numPr>
          <w:ilvl w:val="0"/>
          <w:numId w:val="2"/>
        </w:numPr>
        <w:spacing w:after="40" w:before="40"/>
      </w:pPr>
      <w:r>
        <w:rPr>
          <w:rFonts w:ascii="Arial" w:cs="Arial" w:eastAsia="Arial" w:hAnsi="Arial"/>
          <w:color w:val="1A1A2E"/>
          <w:sz w:val="22"/>
          <w:szCs w:val="22"/>
        </w:rPr>
        <w:t xml:space="preserve">Provider success = platform success: if providers get real bookings, word-of-mouth drives organic provider acquisition.</w:t>
      </w:r>
    </w:p>
    <w:p>
      <w:pPr>
        <w:pStyle w:val="ListParagraph"/>
        <w:numPr>
          <w:ilvl w:val="0"/>
          <w:numId w:val="2"/>
        </w:numPr>
        <w:spacing w:after="40" w:before="40"/>
      </w:pPr>
      <w:r>
        <w:rPr>
          <w:rFonts w:ascii="Arial" w:cs="Arial" w:eastAsia="Arial" w:hAnsi="Arial"/>
          <w:color w:val="1A1A2E"/>
          <w:sz w:val="22"/>
          <w:szCs w:val="22"/>
        </w:rPr>
        <w:t xml:space="preserve">Avoids premature consumer marketing spend before the product is ready to deliver a great experience.</w:t>
      </w:r>
    </w:p>
    <w:p>
      <w:pPr>
        <w:pStyle w:val="ListParagraph"/>
        <w:numPr>
          <w:ilvl w:val="0"/>
          <w:numId w:val="2"/>
        </w:numPr>
        <w:spacing w:after="40" w:before="40"/>
      </w:pPr>
      <w:r>
        <w:rPr>
          <w:rFonts w:ascii="Arial" w:cs="Arial" w:eastAsia="Arial" w:hAnsi="Arial"/>
          <w:color w:val="1A1A2E"/>
          <w:sz w:val="22"/>
          <w:szCs w:val="22"/>
        </w:rPr>
        <w:t xml:space="preserve">Allows the team to iterate on provider tools and UX before opening to consumers.</w:t>
      </w:r>
    </w:p>
    <w:p>
      <w:pPr>
        <w:spacing w:after="80" w:before="120"/>
      </w:pPr>
    </w:p>
    <w:p>
      <w:pPr>
        <w:pStyle w:val="Heading2"/>
        <w:spacing w:after="120" w:before="320"/>
      </w:pPr>
      <w:r>
        <w:rPr>
          <w:rFonts w:ascii="Arial" w:cs="Arial" w:eastAsia="Arial" w:hAnsi="Arial"/>
          <w:b/>
          <w:bCs/>
          <w:color w:val="0D7377"/>
          <w:sz w:val="28"/>
          <w:szCs w:val="28"/>
        </w:rPr>
        <w:t xml:space="preserve">9.3 12-Month Market Entry Recommendation</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5360"/>
      </w:tblGrid>
      <w:tr>
        <w:trPr>
          <w:tblHeader/>
        </w:trPr>
        <w:tc>
          <w:tcPr>
            <w:tcW w:type="dxa" w:w="1600"/>
            <w:tcBorders>
              <w:top w:val="single" w:color="D0D8E0" w:sz="1"/>
              <w:left w:val="single" w:color="D0D8E0" w:sz="1"/>
              <w:bottom w:val="single" w:color="D0D8E0" w:sz="1"/>
              <w:right w:val="single" w:color="D0D8E0"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Quarter</w:t>
            </w:r>
          </w:p>
        </w:tc>
        <w:tc>
          <w:tcPr>
            <w:tcW w:type="dxa" w:w="2400"/>
            <w:tcBorders>
              <w:top w:val="single" w:color="D0D8E0" w:sz="1"/>
              <w:left w:val="single" w:color="D0D8E0" w:sz="1"/>
              <w:bottom w:val="single" w:color="D0D8E0" w:sz="1"/>
              <w:right w:val="single" w:color="D0D8E0"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Phase</w:t>
            </w:r>
          </w:p>
        </w:tc>
        <w:tc>
          <w:tcPr>
            <w:tcW w:type="dxa" w:w="5360"/>
            <w:tcBorders>
              <w:top w:val="single" w:color="D0D8E0" w:sz="1"/>
              <w:left w:val="single" w:color="D0D8E0" w:sz="1"/>
              <w:bottom w:val="single" w:color="D0D8E0" w:sz="1"/>
              <w:right w:val="single" w:color="D0D8E0"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Key Actions</w:t>
            </w:r>
          </w:p>
        </w:tc>
      </w:tr>
      <w:tr>
        <w:tc>
          <w:tcPr>
            <w:tcW w:type="dxa" w:w="160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color w:val="1A1A2E"/>
                <w:sz w:val="20"/>
                <w:szCs w:val="20"/>
              </w:rPr>
              <w:t xml:space="preserve">Q1 2026</w:t>
            </w:r>
          </w:p>
        </w:tc>
        <w:tc>
          <w:tcPr>
            <w:tcW w:type="dxa" w:w="240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color w:val="1A1A2E"/>
                <w:sz w:val="20"/>
                <w:szCs w:val="20"/>
              </w:rPr>
              <w:t xml:space="preserve">Provider Acquisition (MVP#1)</w:t>
            </w:r>
          </w:p>
        </w:tc>
        <w:tc>
          <w:tcPr>
            <w:tcW w:type="dxa" w:w="536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color w:val="1A1A2E"/>
                <w:sz w:val="20"/>
                <w:szCs w:val="20"/>
              </w:rPr>
              <w:t xml:space="preserve">Launch provider landing page; B2B outreach to 50 Sukhumvit providers; target 20+ signed-up providers by end of quarter</w:t>
            </w:r>
          </w:p>
        </w:tc>
      </w:tr>
      <w:tr>
        <w:tc>
          <w:tcPr>
            <w:tcW w:type="dxa" w:w="160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color w:val="1A1A2E"/>
                <w:sz w:val="20"/>
                <w:szCs w:val="20"/>
              </w:rPr>
              <w:t xml:space="preserve">Q2 2026</w:t>
            </w:r>
          </w:p>
        </w:tc>
        <w:tc>
          <w:tcPr>
            <w:tcW w:type="dxa" w:w="240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color w:val="1A1A2E"/>
                <w:sz w:val="20"/>
                <w:szCs w:val="20"/>
              </w:rPr>
              <w:t xml:space="preserve">Platform Launch (MVP#2)</w:t>
            </w:r>
          </w:p>
        </w:tc>
        <w:tc>
          <w:tcPr>
            <w:tcW w:type="dxa" w:w="536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color w:val="1A1A2E"/>
                <w:sz w:val="20"/>
                <w:szCs w:val="20"/>
              </w:rPr>
              <w:t xml:space="preserve">Launch customer-facing app; provider profiles live; area-based search; basic booking flow; target 500 customers in first month</w:t>
            </w:r>
          </w:p>
        </w:tc>
      </w:tr>
      <w:tr>
        <w:tc>
          <w:tcPr>
            <w:tcW w:type="dxa" w:w="160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color w:val="1A1A2E"/>
                <w:sz w:val="20"/>
                <w:szCs w:val="20"/>
              </w:rPr>
              <w:t xml:space="preserve">Q3 2026</w:t>
            </w:r>
          </w:p>
        </w:tc>
        <w:tc>
          <w:tcPr>
            <w:tcW w:type="dxa" w:w="240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color w:val="1A1A2E"/>
                <w:sz w:val="20"/>
                <w:szCs w:val="20"/>
              </w:rPr>
              <w:t xml:space="preserve">Booking &amp; Payment (MVP#3)</w:t>
            </w:r>
          </w:p>
        </w:tc>
        <w:tc>
          <w:tcPr>
            <w:tcW w:type="dxa" w:w="536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color w:val="1A1A2E"/>
                <w:sz w:val="20"/>
                <w:szCs w:val="20"/>
              </w:rPr>
              <w:t xml:space="preserve">In-app booking with real-time availability; top-up credit wallet; confirmation and reminders; target 2,000 bookings/month by Q3 end</w:t>
            </w:r>
          </w:p>
        </w:tc>
      </w:tr>
      <w:tr>
        <w:tc>
          <w:tcPr>
            <w:tcW w:type="dxa" w:w="160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color w:val="1A1A2E"/>
                <w:sz w:val="20"/>
                <w:szCs w:val="20"/>
              </w:rPr>
              <w:t xml:space="preserve">Q4 2026</w:t>
            </w:r>
          </w:p>
        </w:tc>
        <w:tc>
          <w:tcPr>
            <w:tcW w:type="dxa" w:w="240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color w:val="1A1A2E"/>
                <w:sz w:val="20"/>
                <w:szCs w:val="20"/>
              </w:rPr>
              <w:t xml:space="preserve">Growth &amp; Expansion</w:t>
            </w:r>
          </w:p>
        </w:tc>
        <w:tc>
          <w:tcPr>
            <w:tcW w:type="dxa" w:w="536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color w:val="1A1A2E"/>
                <w:sz w:val="20"/>
                <w:szCs w:val="20"/>
              </w:rPr>
              <w:t xml:space="preserve">Expand to 3–5 new Bangkok districts; provider analytics dashboard; loyalty programme; GMV target THB 10M+ monthly</w:t>
            </w:r>
          </w:p>
        </w:tc>
      </w:tr>
    </w:tbl>
    <w:p>
      <w:pPr>
        <w:spacing w:after="120" w:before="200"/>
      </w:pPr>
    </w:p>
    <w:p>
      <w:pPr>
        <w:pBdr>
          <w:left w:val="single" w:color="1A3C5E" w:sz="12" w:space="8"/>
        </w:pBdr>
        <w:shd w:fill="E8F0F7" w:val="clear"/>
        <w:spacing w:after="60" w:before="60" w:line="320"/>
        <w:ind w:left="200"/>
      </w:pPr>
      <w:r>
        <w:rPr>
          <w:rFonts w:ascii="Arial" w:cs="Arial" w:eastAsia="Arial" w:hAnsi="Arial"/>
          <w:color w:val="1A1A2E"/>
          <w:sz w:val="20"/>
          <w:szCs w:val="20"/>
        </w:rPr>
        <w:t xml:space="preserve">Summary: Pawtal is entering a large, underserved market with clear tailwinds. The provider-first, Sukhumvit-first, mobile-first strategy is well-calibrated for the Thai market. Success in MVP#1 — signing up 20+ quality providers — de-risks the consumer launch and sets the foundation for sustainable marketplace growth.</w:t>
      </w:r>
    </w:p>
    <w:p>
      <w:pPr>
        <w:spacing w:after="80" w:before="160"/>
      </w:pPr>
    </w:p>
    <w:p>
      <w:pPr>
        <w:spacing w:after="80" w:before="320"/>
        <w:jc w:val="center"/>
      </w:pPr>
      <w:r>
        <w:rPr>
          <w:rFonts w:ascii="Arial" w:cs="Arial" w:eastAsia="Arial" w:hAnsi="Arial"/>
          <w:i/>
          <w:iCs/>
          <w:color w:val="888888"/>
          <w:sz w:val="20"/>
          <w:szCs w:val="20"/>
        </w:rPr>
        <w:t xml:space="preserve">— End of Document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8E0" w:sz="2" w:space="4"/>
      </w:pBdr>
      <w:jc w:val="center"/>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of </w:t>
    </w:r>
    <w:r>
      <w:rPr>
        <w:rFonts w:ascii="Arial" w:cs="Arial" w:eastAsia="Arial" w:hAnsi="Arial"/>
        <w:color w:val="888888"/>
        <w:sz w:val="16"/>
        <w:szCs w:val="16"/>
      </w:rPr>
      <w:fldChar w:fldCharType="begin"/>
      <w:instrText xml:space="preserve">NUMPAGES</w:instrText>
      <w:fldChar w:fldCharType="separate"/>
      <w:fldChar w:fldCharType="end"/>
    </w:r>
    <w:r>
      <w:rPr>
        <w:rFonts w:ascii="Arial" w:cs="Arial" w:eastAsia="Arial" w:hAnsi="Arial"/>
        <w:color w:val="888888"/>
        <w:sz w:val="16"/>
        <w:szCs w:val="16"/>
      </w:rPr>
      <w:t xml:space="preserve">  |  Pawtal © 2026  |  Confidential &amp; Proprietary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3C5E" w:sz="2" w:space="4"/>
      </w:pBdr>
      <w:jc w:val="right"/>
    </w:pPr>
    <w:r>
      <w:rPr>
        <w:rFonts w:ascii="Arial" w:cs="Arial" w:eastAsia="Arial" w:hAnsi="Arial"/>
        <w:color w:val="1A3C5E"/>
        <w:sz w:val="16"/>
        <w:szCs w:val="16"/>
      </w:rPr>
      <w:t xml:space="preserve">PAWTAL | Market Analysis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1A3C5E"/>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0D7377"/>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2026-03-18T16:23:01.002Z</dcterms:created>
  <dcterms:modified xsi:type="dcterms:W3CDTF">2026-03-18T16:23:01.002Z</dcterms:modified>
</cp:coreProperties>
</file>

<file path=docProps/custom.xml><?xml version="1.0" encoding="utf-8"?>
<Properties xmlns="http://schemas.openxmlformats.org/officeDocument/2006/custom-properties" xmlns:vt="http://schemas.openxmlformats.org/officeDocument/2006/docPropsVTypes"/>
</file>