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4D024">
      <w:p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交通标志检测与识别系统</w:t>
      </w:r>
    </w:p>
    <w:p w14:paraId="4D386D5F">
      <w:p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基于YOLOv8的GTSDB交通标志检测</w:t>
      </w:r>
    </w:p>
    <w:p w14:paraId="5006A4EA">
      <w:pPr>
        <w:jc w:val="center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32B1EE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摘要</w:t>
      </w:r>
    </w:p>
    <w:p w14:paraId="18065E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本实验基于 YOLOv8 目标检测框架，针对德国交通标志检测基准数据集（GTSDB）实现了交通标志检测与识别系统。</w:t>
      </w:r>
    </w:p>
    <w:p w14:paraId="582CD3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德国交通标志检测基准（GTSDB）是一个广泛使用的公开数据集，包含 900 张标注图片（600 张训练、300 张测试），覆盖 43 类交通标志本</w:t>
      </w:r>
    </w:p>
    <w:p w14:paraId="76963D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我们将 GTSDB 的 43 类细粒度标注映射为 5 个实际驾驶场景中最常见的类别：限速（speed_limit）、禁止通行（no_entry）、直行/转弯（direction）、人行横道（crosswalk）和停车让行（stop_yield）。实验采用 YOLOv8s 作为 baseline 模型，并通过强数据增强、余弦退火学习率调度和标签平滑等策略进行改进。最终模型在验证集上达到了mAP@0.5 = 0.9015，满足 mAP ≥ 75% 的要求。此外，我们还对不同场景条件（明亮、正常、低光、模糊）下的检测性能进行了对比分析，并对误检和漏检案例进行了深入分析。</w:t>
      </w:r>
    </w:p>
    <w:p w14:paraId="0032062D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8FE271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关键词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：交通标志检测；YOLOv8；GTSDB；目标检测；数据增强</w:t>
      </w:r>
    </w:p>
    <w:p w14:paraId="4BE246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A587D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一、引言</w:t>
      </w:r>
    </w:p>
    <w:p w14:paraId="2BE1A5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1.1背景与意义</w:t>
      </w:r>
    </w:p>
    <w:p w14:paraId="53BB81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通标志检测与识别是自动驾驶和高级辅助驾驶系统（ADAS）中的关键技术。准确的交通标志感知能够帮助车辆理解道路规则，做出安全合理的驾驶决策，对提升道路交通安全具有重要意义。在复杂多变的实际道路环境中，交通标志检测面临着光照变化、视角差异、遮挡、运动模糊等多重挑战。</w:t>
      </w:r>
    </w:p>
    <w:p w14:paraId="45B85C2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1.2数据集简介 </w:t>
      </w:r>
    </w:p>
    <w:p w14:paraId="22216B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德国交通标志检测基准（German Traffic Sign Detection Benchmark, GTSDB）是一个广泛使用的公开数据集，包含 900 张标注图片（600 张训练、300 张测试），覆盖 43 类交通标志。数据集场景涵盖城市道路、高速公路、乡村道路等多种环境，具有光照、天气和视角的多样性</w:t>
      </w:r>
    </w:p>
    <w:p w14:paraId="22D1F0B3">
      <w:pPr>
        <w:rPr>
          <w:rFonts w:hint="eastAsia" w:ascii="宋体" w:hAnsi="宋体" w:eastAsia="宋体" w:cs="宋体"/>
          <w:sz w:val="24"/>
          <w:szCs w:val="24"/>
        </w:rPr>
      </w:pPr>
    </w:p>
    <w:p w14:paraId="44C4E8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 实验方法</w:t>
      </w:r>
    </w:p>
    <w:p w14:paraId="32EC61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实验目标</w:t>
      </w:r>
    </w:p>
    <w:p w14:paraId="3166F1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本实验的主要目标包括:</w:t>
      </w:r>
    </w:p>
    <w:p w14:paraId="554229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基于 YOLOv8 实现交通标志的实时检测与识别</w:t>
      </w:r>
    </w:p>
    <w:p w14:paraId="66467E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将 43 类细粒度标注映射为 5 个面向实际驾驶场景的核心类别</w:t>
      </w:r>
    </w:p>
    <w:p w14:paraId="3979C4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通过多种改进策略提升模型在不同场景条件下的检测性能</w:t>
      </w:r>
    </w:p>
    <w:p w14:paraId="0F6C80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使用 mAP@0.5 作为主要评价指标，目标不低于 75%</w:t>
      </w:r>
    </w:p>
    <w:p w14:paraId="5079A1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系统分析误检和漏检案例，提出并验证改进策略</w:t>
      </w:r>
    </w:p>
    <w:p w14:paraId="652B2F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对不同场景条件(明亮、正常、低光、模糊)下的检测性能进行对比</w:t>
      </w:r>
    </w:p>
    <w:p w14:paraId="44D76263">
      <w:pPr>
        <w:rPr>
          <w:rFonts w:hint="eastAsia" w:ascii="宋体" w:hAnsi="宋体" w:eastAsia="宋体" w:cs="宋体"/>
          <w:sz w:val="24"/>
          <w:szCs w:val="24"/>
        </w:rPr>
      </w:pPr>
    </w:p>
    <w:p w14:paraId="3D2067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 数据集分析与预处理</w:t>
      </w:r>
    </w:p>
    <w:p w14:paraId="1F24EA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2.1.1 数据集统计</w:t>
      </w:r>
    </w:p>
    <w:p w14:paraId="0DB530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GTSDB 数据集包含 900 张道路场景图片，每张图片可能包含多个交通标志。数据集中图片分辨率各异，交通标志在图片中的尺寸差异较大，小目标(面积 &lt; 32×32 像素)占比较高，这增加了检测难度。</w:t>
      </w:r>
    </w:p>
    <w:p w14:paraId="65C2C35E">
      <w:pPr>
        <w:rPr>
          <w:rFonts w:hint="eastAsia" w:ascii="宋体" w:hAnsi="宋体" w:eastAsia="宋体" w:cs="宋体"/>
          <w:sz w:val="24"/>
          <w:szCs w:val="24"/>
        </w:rPr>
      </w:pPr>
    </w:p>
    <w:p w14:paraId="7B0BC2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2.1.2 类别映射策略</w:t>
      </w:r>
    </w:p>
    <w:p w14:paraId="0D32C8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原始标注为 43 类细粒度分类。由于部分类别样本极少(存在长尾分布问题)，且实际驾驶场景中对限速值、转弯方向等细节的区分属于后续分类任务，在不影响前端检测任务的前提下，我们按照以下规则将 43 类映射为 5 类:</w:t>
      </w:r>
    </w:p>
    <w:p w14:paraId="703742D6">
      <w:pPr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616"/>
        <w:gridCol w:w="2616"/>
        <w:gridCol w:w="1284"/>
      </w:tblGrid>
      <w:tr w14:paraId="5C43E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  <w:shd w:val="clear" w:color="auto" w:fill="FFFFFF"/>
          </w:tcPr>
          <w:p w14:paraId="13CA9F7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目标类别</w:t>
            </w:r>
          </w:p>
        </w:tc>
        <w:tc>
          <w:tcPr>
            <w:tcW w:w="2024" w:type="dxa"/>
            <w:shd w:val="clear" w:color="auto" w:fill="FFFFFF"/>
          </w:tcPr>
          <w:p w14:paraId="5F54C56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原始GTSDB类别ID</w:t>
            </w:r>
          </w:p>
        </w:tc>
        <w:tc>
          <w:tcPr>
            <w:tcW w:w="2319" w:type="dxa"/>
            <w:shd w:val="clear" w:color="auto" w:fill="FFFFFF"/>
          </w:tcPr>
          <w:p w14:paraId="52255E6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描述</w:t>
            </w:r>
          </w:p>
        </w:tc>
        <w:tc>
          <w:tcPr>
            <w:tcW w:w="1946" w:type="dxa"/>
            <w:shd w:val="clear" w:color="auto" w:fill="FFFFFF"/>
          </w:tcPr>
          <w:p w14:paraId="7EA35D6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映射后样本数</w:t>
            </w:r>
          </w:p>
        </w:tc>
      </w:tr>
      <w:tr w14:paraId="4C2DE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  <w:shd w:val="clear" w:color="auto" w:fill="FFFFFF"/>
          </w:tcPr>
          <w:p w14:paraId="34122FB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speed_limit (0)</w:t>
            </w:r>
          </w:p>
        </w:tc>
        <w:tc>
          <w:tcPr>
            <w:tcW w:w="2024" w:type="dxa"/>
            <w:shd w:val="clear" w:color="auto" w:fill="FFFFFF"/>
          </w:tcPr>
          <w:p w14:paraId="38BD67A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0,1,2,3,4,5,7,8</w:t>
            </w:r>
          </w:p>
        </w:tc>
        <w:tc>
          <w:tcPr>
            <w:tcW w:w="2319" w:type="dxa"/>
            <w:shd w:val="clear" w:color="auto" w:fill="FFFFFF"/>
          </w:tcPr>
          <w:p w14:paraId="553D77C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各类限速标志(30/50/60/80/100/120 等)</w:t>
            </w:r>
          </w:p>
        </w:tc>
        <w:tc>
          <w:tcPr>
            <w:tcW w:w="1946" w:type="dxa"/>
            <w:shd w:val="clear" w:color="auto" w:fill="FFFFFF"/>
          </w:tcPr>
          <w:p w14:paraId="3228396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450 个实例 </w:t>
            </w:r>
          </w:p>
        </w:tc>
      </w:tr>
      <w:tr w14:paraId="094E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  <w:shd w:val="clear" w:color="auto" w:fill="FFFFFF"/>
          </w:tcPr>
          <w:p w14:paraId="171AE82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no_entry (1) |</w:t>
            </w:r>
          </w:p>
        </w:tc>
        <w:tc>
          <w:tcPr>
            <w:tcW w:w="2024" w:type="dxa"/>
            <w:shd w:val="clear" w:color="auto" w:fill="FFFFFF"/>
          </w:tcPr>
          <w:p w14:paraId="7E47C90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17</w:t>
            </w:r>
          </w:p>
        </w:tc>
        <w:tc>
          <w:tcPr>
            <w:tcW w:w="2319" w:type="dxa"/>
            <w:shd w:val="clear" w:color="auto" w:fill="FFFFFF"/>
          </w:tcPr>
          <w:p w14:paraId="22F8BEC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禁止通行 |</w:t>
            </w:r>
          </w:p>
        </w:tc>
        <w:tc>
          <w:tcPr>
            <w:tcW w:w="1946" w:type="dxa"/>
            <w:shd w:val="clear" w:color="auto" w:fill="FFFFFF"/>
          </w:tcPr>
          <w:p w14:paraId="3BBAD37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60 个实例</w:t>
            </w:r>
          </w:p>
        </w:tc>
      </w:tr>
      <w:tr w14:paraId="40A64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  <w:shd w:val="clear" w:color="auto" w:fill="FFFFFF"/>
          </w:tcPr>
          <w:p w14:paraId="269F308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direction (2)</w:t>
            </w:r>
          </w:p>
        </w:tc>
        <w:tc>
          <w:tcPr>
            <w:tcW w:w="2024" w:type="dxa"/>
            <w:shd w:val="clear" w:color="auto" w:fill="FFFFFF"/>
          </w:tcPr>
          <w:p w14:paraId="44152BA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33,34,35,36,37,38,39</w:t>
            </w:r>
          </w:p>
        </w:tc>
        <w:tc>
          <w:tcPr>
            <w:tcW w:w="2319" w:type="dxa"/>
            <w:shd w:val="clear" w:color="auto" w:fill="FFFFFF"/>
          </w:tcPr>
          <w:p w14:paraId="7B381DC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直行/转弯指示</w:t>
            </w:r>
          </w:p>
        </w:tc>
        <w:tc>
          <w:tcPr>
            <w:tcW w:w="1946" w:type="dxa"/>
            <w:shd w:val="clear" w:color="auto" w:fill="FFFFFF"/>
          </w:tcPr>
          <w:p w14:paraId="32DC188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120 个实例</w:t>
            </w:r>
          </w:p>
        </w:tc>
      </w:tr>
      <w:tr w14:paraId="4802C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  <w:shd w:val="clear" w:color="auto" w:fill="FFFFFF"/>
          </w:tcPr>
          <w:p w14:paraId="2BCA838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crosswalk (3)</w:t>
            </w:r>
          </w:p>
        </w:tc>
        <w:tc>
          <w:tcPr>
            <w:tcW w:w="2024" w:type="dxa"/>
            <w:shd w:val="clear" w:color="auto" w:fill="FFFFFF"/>
          </w:tcPr>
          <w:p w14:paraId="13253B4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27</w:t>
            </w:r>
          </w:p>
        </w:tc>
        <w:tc>
          <w:tcPr>
            <w:tcW w:w="2319" w:type="dxa"/>
            <w:shd w:val="clear" w:color="auto" w:fill="FFFFFF"/>
          </w:tcPr>
          <w:p w14:paraId="1660973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人行横道</w:t>
            </w:r>
          </w:p>
        </w:tc>
        <w:tc>
          <w:tcPr>
            <w:tcW w:w="1946" w:type="dxa"/>
            <w:shd w:val="clear" w:color="auto" w:fill="FFFFFF"/>
          </w:tcPr>
          <w:p w14:paraId="12970E0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50 个实例</w:t>
            </w:r>
          </w:p>
        </w:tc>
      </w:tr>
      <w:tr w14:paraId="30DF7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  <w:shd w:val="clear" w:color="auto" w:fill="FFFFFF"/>
          </w:tcPr>
          <w:p w14:paraId="4558807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stop_yield (4)</w:t>
            </w:r>
          </w:p>
        </w:tc>
        <w:tc>
          <w:tcPr>
            <w:tcW w:w="2024" w:type="dxa"/>
            <w:shd w:val="clear" w:color="auto" w:fill="FFFFFF"/>
          </w:tcPr>
          <w:p w14:paraId="6F45807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13.14</w:t>
            </w:r>
          </w:p>
        </w:tc>
        <w:tc>
          <w:tcPr>
            <w:tcW w:w="2319" w:type="dxa"/>
            <w:shd w:val="clear" w:color="auto" w:fill="FFFFFF"/>
          </w:tcPr>
          <w:p w14:paraId="585D4AC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停车让行</w:t>
            </w:r>
          </w:p>
        </w:tc>
        <w:tc>
          <w:tcPr>
            <w:tcW w:w="1946" w:type="dxa"/>
            <w:shd w:val="clear" w:color="auto" w:fill="FFFFFF"/>
          </w:tcPr>
          <w:p w14:paraId="0E0A014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80 个实例</w:t>
            </w:r>
          </w:p>
        </w:tc>
      </w:tr>
    </w:tbl>
    <w:p w14:paraId="61D5D106">
      <w:pPr>
        <w:rPr>
          <w:rFonts w:hint="eastAsia" w:ascii="宋体" w:hAnsi="宋体" w:eastAsia="宋体" w:cs="宋体"/>
          <w:sz w:val="24"/>
          <w:szCs w:val="24"/>
        </w:rPr>
      </w:pPr>
    </w:p>
    <w:p w14:paraId="62C0BF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这种映射策略的优势在于:语义统一，将细粒度分类统一为功能属性，降低检测难度；数据均衡，缓解了原始数据集中严重的类别不平衡问题；实际可用，更贴近实际驾驶场景中的感知需求。</w:t>
      </w:r>
    </w:p>
    <w:p w14:paraId="176F2B53">
      <w:pPr>
        <w:rPr>
          <w:rFonts w:hint="eastAsia" w:ascii="宋体" w:hAnsi="宋体" w:eastAsia="宋体" w:cs="宋体"/>
          <w:sz w:val="24"/>
          <w:szCs w:val="24"/>
        </w:rPr>
      </w:pPr>
    </w:p>
    <w:p w14:paraId="1EDDC6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2.1.3 数据划分</w:t>
      </w:r>
    </w:p>
    <w:p w14:paraId="1DC952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数据集按照 80:20 的比例随机划分为训练集和验证集。最终训练集包含 275 张图片，验证集包含 68 张图片。划分时采用分层抽样策略，确保各类别在训练集和验证集中的分布比例一致。</w:t>
      </w:r>
    </w:p>
    <w:p w14:paraId="23E07419">
      <w:pPr>
        <w:rPr>
          <w:rFonts w:hint="eastAsia" w:ascii="宋体" w:hAnsi="宋体" w:eastAsia="宋体" w:cs="宋体"/>
          <w:sz w:val="24"/>
          <w:szCs w:val="24"/>
        </w:rPr>
      </w:pPr>
    </w:p>
    <w:p w14:paraId="4F76CB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 YOLOv8 模型架构</w:t>
      </w:r>
    </w:p>
    <w:p w14:paraId="1B59E2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YOLOv8 是 Ultralytics 推出的单阶段目标检测模型，具有检测速度快、精度高的特点。本实验选用 YOLOv8s(small)版本，参数量约 11.2M，在精度和速度之间取得良好平衡。</w:t>
      </w:r>
    </w:p>
    <w:p w14:paraId="6264B448">
      <w:pPr>
        <w:rPr>
          <w:rFonts w:hint="eastAsia" w:ascii="宋体" w:hAnsi="宋体" w:eastAsia="宋体" w:cs="宋体"/>
          <w:sz w:val="24"/>
          <w:szCs w:val="24"/>
        </w:rPr>
      </w:pPr>
    </w:p>
    <w:p w14:paraId="4C6521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YOLOv8 的核心架构包括:</w:t>
      </w:r>
    </w:p>
    <w:p w14:paraId="5ED046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Backbone: CSPDarknet </w:t>
      </w:r>
      <w:r>
        <w:rPr>
          <w:rFonts w:hint="eastAsia" w:ascii="宋体" w:hAnsi="宋体" w:eastAsia="宋体" w:cs="宋体"/>
          <w:sz w:val="24"/>
          <w:szCs w:val="24"/>
        </w:rPr>
        <w:t>结构，使用 C2f 模块替代了 YOLOv5 的 C3 模块。C2f 模块通过更多的跨层连接和更丰富的梯度流设计，在保持轻量化的同时提升了特征提取能力</w:t>
      </w:r>
    </w:p>
    <w:p w14:paraId="7734CB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Neck: FPN + PAN</w:t>
      </w:r>
      <w:r>
        <w:rPr>
          <w:rFonts w:hint="eastAsia" w:ascii="宋体" w:hAnsi="宋体" w:eastAsia="宋体" w:cs="宋体"/>
          <w:sz w:val="24"/>
          <w:szCs w:val="24"/>
        </w:rPr>
        <w:t xml:space="preserve"> 结构，通过自顶向下的特征金字塔和自底向上的路径聚合网络，实现多尺度特征融合，使模型能够同时检测大、中、小目标</w:t>
      </w:r>
    </w:p>
    <w:p w14:paraId="3F6AB1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Head: 解耦检测头(Decoupled Head)，分别预测分类和回归任务。分类分支使用 BCE Loss，回归分支使用 CIoU Loss + DFL Loss</w:t>
      </w:r>
    </w:p>
    <w:p w14:paraId="7B29AD42">
      <w:pPr>
        <w:rPr>
          <w:rFonts w:hint="eastAsia" w:ascii="宋体" w:hAnsi="宋体" w:eastAsia="宋体" w:cs="宋体"/>
          <w:sz w:val="24"/>
          <w:szCs w:val="24"/>
        </w:rPr>
      </w:pPr>
    </w:p>
    <w:p w14:paraId="08E8AA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与 YOLOv5 相比，YOLOv8 的主要改进包括:</w:t>
      </w:r>
    </w:p>
    <w:p w14:paraId="60E85F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无锚框检测(Anchor-Free)，简化了检测头的设计</w:t>
      </w:r>
    </w:p>
    <w:p w14:paraId="4D9DE0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解耦分类和回归头，提升训练效率和检测精度</w:t>
      </w:r>
    </w:p>
    <w:p w14:paraId="3CCD7B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新的损失函数设计，回归分支引入 Distribution Focal Loss(DFL)</w:t>
      </w:r>
    </w:p>
    <w:p w14:paraId="320477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更优的样本分配策略(Task-Aligned Assigner)</w:t>
      </w:r>
    </w:p>
    <w:p w14:paraId="705A52B2">
      <w:pPr>
        <w:rPr>
          <w:rFonts w:hint="eastAsia" w:ascii="宋体" w:hAnsi="宋体" w:eastAsia="宋体" w:cs="宋体"/>
          <w:sz w:val="24"/>
          <w:szCs w:val="24"/>
        </w:rPr>
      </w:pPr>
    </w:p>
    <w:p w14:paraId="54237B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2.3 Baseline 训练配置</w:t>
      </w:r>
    </w:p>
    <w:p w14:paraId="70490C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基线模型使用 YOLOv8s 预训练权重(在 COCO 数据集上预训练)，训练参数如下:</w:t>
      </w:r>
    </w:p>
    <w:p w14:paraId="3D6A9608">
      <w:pPr>
        <w:rPr>
          <w:rFonts w:hint="eastAsia" w:ascii="宋体" w:hAnsi="宋体" w:eastAsia="宋体" w:cs="宋体"/>
          <w:sz w:val="24"/>
          <w:szCs w:val="24"/>
        </w:rPr>
      </w:pPr>
    </w:p>
    <w:p w14:paraId="3D0A8EA4"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参数                        值 </w:t>
      </w:r>
    </w:p>
    <w:p w14:paraId="315902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输入尺寸                   640×640 </w:t>
      </w:r>
    </w:p>
    <w:p w14:paraId="0DC04906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Batch Size                     16 </w:t>
      </w:r>
    </w:p>
    <w:p w14:paraId="2BCE2CD2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Epochs                       100 </w:t>
      </w:r>
    </w:p>
    <w:p w14:paraId="1F9A42F7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优化器         SGD(momentum=0.937, weight_decay=0.0005) </w:t>
      </w:r>
    </w:p>
    <w:p w14:paraId="7566FE35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初始学习率                     0.01 </w:t>
      </w:r>
    </w:p>
    <w:p w14:paraId="100463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最终学习率                   0.001) </w:t>
      </w:r>
    </w:p>
    <w:p w14:paraId="0702DC09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数据增强         默认增强(mosaic, HSV 抖动, 随机缩放等) </w:t>
      </w:r>
    </w:p>
    <w:p w14:paraId="13C004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早停耐心                   15 epochs </w:t>
      </w:r>
    </w:p>
    <w:p w14:paraId="487F947F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预热                      3 epochs </w:t>
      </w:r>
    </w:p>
    <w:p w14:paraId="6170A274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标签平滑                   0.0(baseline 不做) </w:t>
      </w:r>
    </w:p>
    <w:p w14:paraId="39151F92">
      <w:pPr>
        <w:rPr>
          <w:rFonts w:hint="eastAsia" w:ascii="宋体" w:hAnsi="宋体" w:eastAsia="宋体" w:cs="宋体"/>
          <w:sz w:val="24"/>
          <w:szCs w:val="24"/>
        </w:rPr>
      </w:pPr>
    </w:p>
    <w:p w14:paraId="7A68FF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2.4 改进策略</w:t>
      </w:r>
    </w:p>
    <w:p w14:paraId="29170F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为提升模型在复杂场景下的鲁棒性，我们提出了以下改进策略:</w:t>
      </w:r>
    </w:p>
    <w:p w14:paraId="74CBDB87">
      <w:pPr>
        <w:rPr>
          <w:rFonts w:hint="eastAsia" w:ascii="宋体" w:hAnsi="宋体" w:eastAsia="宋体" w:cs="宋体"/>
          <w:sz w:val="24"/>
          <w:szCs w:val="24"/>
        </w:rPr>
      </w:pPr>
    </w:p>
    <w:p w14:paraId="4BB1CC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2.4.1 强数据增强</w:t>
      </w:r>
    </w:p>
    <w:p w14:paraId="7F0780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增大 HSV 颜色抖动范围模拟不同光照条件，并增加几何变换范围提升对视角变化的鲁棒性:</w:t>
      </w:r>
    </w:p>
    <w:p w14:paraId="5DD181BB">
      <w:pPr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0DE6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AE94D3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增强类型</w:t>
            </w:r>
          </w:p>
        </w:tc>
        <w:tc>
          <w:tcPr>
            <w:tcW w:w="2765" w:type="dxa"/>
          </w:tcPr>
          <w:p w14:paraId="13442D4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Baseline</w:t>
            </w:r>
          </w:p>
        </w:tc>
        <w:tc>
          <w:tcPr>
            <w:tcW w:w="2766" w:type="dxa"/>
          </w:tcPr>
          <w:p w14:paraId="398A68E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Improved</w:t>
            </w:r>
          </w:p>
        </w:tc>
      </w:tr>
      <w:tr w14:paraId="6B70C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C4916A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HSV色调抖动 (h)</w:t>
            </w:r>
          </w:p>
        </w:tc>
        <w:tc>
          <w:tcPr>
            <w:tcW w:w="2765" w:type="dxa"/>
          </w:tcPr>
          <w:p w14:paraId="4AF6889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0.015</w:t>
            </w:r>
          </w:p>
        </w:tc>
        <w:tc>
          <w:tcPr>
            <w:tcW w:w="2766" w:type="dxa"/>
          </w:tcPr>
          <w:p w14:paraId="6EE1E73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0.05</w:t>
            </w:r>
          </w:p>
        </w:tc>
      </w:tr>
      <w:tr w14:paraId="43287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10FCBB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HSV饱和度抖动 (s)</w:t>
            </w:r>
          </w:p>
        </w:tc>
        <w:tc>
          <w:tcPr>
            <w:tcW w:w="2765" w:type="dxa"/>
          </w:tcPr>
          <w:p w14:paraId="3607106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0.7</w:t>
            </w:r>
          </w:p>
        </w:tc>
        <w:tc>
          <w:tcPr>
            <w:tcW w:w="2766" w:type="dxa"/>
          </w:tcPr>
          <w:p w14:paraId="480D595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0.7</w:t>
            </w:r>
          </w:p>
        </w:tc>
      </w:tr>
      <w:tr w14:paraId="6A6E5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32CC43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HSV明度抖动 (v)</w:t>
            </w:r>
          </w:p>
        </w:tc>
        <w:tc>
          <w:tcPr>
            <w:tcW w:w="2765" w:type="dxa"/>
          </w:tcPr>
          <w:p w14:paraId="6770274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0.4</w:t>
            </w:r>
          </w:p>
        </w:tc>
        <w:tc>
          <w:tcPr>
            <w:tcW w:w="2766" w:type="dxa"/>
          </w:tcPr>
          <w:p w14:paraId="549EC81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0.5</w:t>
            </w:r>
          </w:p>
        </w:tc>
      </w:tr>
      <w:tr w14:paraId="12D30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6AA5C0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旋转范围</w:t>
            </w:r>
          </w:p>
        </w:tc>
        <w:tc>
          <w:tcPr>
            <w:tcW w:w="2765" w:type="dxa"/>
          </w:tcPr>
          <w:p w14:paraId="709A238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0.0</w:t>
            </w:r>
          </w:p>
        </w:tc>
        <w:tc>
          <w:tcPr>
            <w:tcW w:w="2766" w:type="dxa"/>
          </w:tcPr>
          <w:p w14:paraId="6451025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±15.0</w:t>
            </w:r>
          </w:p>
        </w:tc>
      </w:tr>
      <w:tr w14:paraId="08817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54FAD4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缩放范围</w:t>
            </w:r>
          </w:p>
        </w:tc>
        <w:tc>
          <w:tcPr>
            <w:tcW w:w="2765" w:type="dxa"/>
          </w:tcPr>
          <w:p w14:paraId="1CB86F7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0.5</w:t>
            </w:r>
          </w:p>
        </w:tc>
        <w:tc>
          <w:tcPr>
            <w:tcW w:w="2766" w:type="dxa"/>
          </w:tcPr>
          <w:p w14:paraId="6A98F1C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0.6</w:t>
            </w:r>
          </w:p>
        </w:tc>
      </w:tr>
      <w:tr w14:paraId="51877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61560F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平移范围</w:t>
            </w:r>
          </w:p>
        </w:tc>
        <w:tc>
          <w:tcPr>
            <w:tcW w:w="2765" w:type="dxa"/>
          </w:tcPr>
          <w:p w14:paraId="7D35FA7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0.1</w:t>
            </w:r>
          </w:p>
        </w:tc>
        <w:tc>
          <w:tcPr>
            <w:tcW w:w="2766" w:type="dxa"/>
          </w:tcPr>
          <w:p w14:paraId="1AD7529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0.15</w:t>
            </w:r>
          </w:p>
        </w:tc>
      </w:tr>
    </w:tbl>
    <w:p w14:paraId="2AA0932A">
      <w:pPr>
        <w:rPr>
          <w:rFonts w:hint="eastAsia" w:ascii="宋体" w:hAnsi="宋体" w:eastAsia="宋体" w:cs="宋体"/>
          <w:sz w:val="24"/>
          <w:szCs w:val="24"/>
        </w:rPr>
      </w:pPr>
    </w:p>
    <w:p w14:paraId="5CA1A7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2.4.2 Mosaic + MixUp + Copy-Paste 组合增强</w:t>
      </w:r>
    </w:p>
    <w:p w14:paraId="4095B5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Mosaic 拼接:将 4 张训练图片随机拼接为一张，提升小目标检测能力，同时增加训练样本的多样性</w:t>
      </w:r>
    </w:p>
    <w:p w14:paraId="4A73A7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MixUp 混合:以一定比例混合两张图片及其标注，减少对训练样本的过拟合</w:t>
      </w:r>
    </w:p>
    <w:p w14:paraId="51F40F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Copy-Paste 增强:将小目标复制粘贴到其他图片中，专门针对小目标检测困难的问题</w:t>
      </w:r>
    </w:p>
    <w:p w14:paraId="1AF648AD">
      <w:pPr>
        <w:rPr>
          <w:rFonts w:hint="eastAsia" w:ascii="宋体" w:hAnsi="宋体" w:eastAsia="宋体" w:cs="宋体"/>
          <w:sz w:val="24"/>
          <w:szCs w:val="24"/>
        </w:rPr>
      </w:pPr>
    </w:p>
    <w:p w14:paraId="754ED1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2.4.3 余弦退火学习率调度</w:t>
      </w:r>
    </w:p>
    <w:p w14:paraId="6470A5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使用余弦退火调度(cos_lr=True)，学习率从 0.01 按照余弦曲线平滑衰减至 0.001。相比阶梯式衰减，余弦退火的优势在于:学习率变化更加平滑，有利于收敛到更优的局部极小值；在训练后期以较低学习率进行精细调优；无需手动设置衰减里程碑。</w:t>
      </w:r>
    </w:p>
    <w:p w14:paraId="23A5102C">
      <w:pPr>
        <w:rPr>
          <w:rFonts w:hint="eastAsia" w:ascii="宋体" w:hAnsi="宋体" w:eastAsia="宋体" w:cs="宋体"/>
          <w:sz w:val="24"/>
          <w:szCs w:val="24"/>
        </w:rPr>
      </w:pPr>
    </w:p>
    <w:p w14:paraId="507FA6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2.4.4 标签平滑</w:t>
      </w:r>
    </w:p>
    <w:p w14:paraId="4C3361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引入标签平滑 (label_smoothing =0.05 )，将硬标签(0或1)替换为软标签(0.05/0.95)，防止模型产生过度自信的预测，提升泛化能力。标签平滑正则化的效果等价于在损失函数中增加 KL 散度项。</w:t>
      </w:r>
    </w:p>
    <w:p w14:paraId="6A20490E">
      <w:pPr>
        <w:rPr>
          <w:rFonts w:hint="eastAsia" w:ascii="宋体" w:hAnsi="宋体" w:eastAsia="宋体" w:cs="宋体"/>
          <w:sz w:val="24"/>
          <w:szCs w:val="24"/>
        </w:rPr>
      </w:pPr>
    </w:p>
    <w:p w14:paraId="739F83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2.4.5 预热 + 早停优化</w:t>
      </w:r>
    </w:p>
    <w:p w14:paraId="49861C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预热阶段:5 个 epoch 的线性预热，学习率从 0 逐步上升至 0.01，避免模型在初始阶段因学习率过大而不稳定</w:t>
      </w:r>
    </w:p>
    <w:p w14:paraId="3908CC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早停机制:耐心值设为 30 个 epoch，允许模型有更充分的时间收敛，同时防止无效训练</w:t>
      </w:r>
    </w:p>
    <w:p w14:paraId="218A2A88">
      <w:pPr>
        <w:rPr>
          <w:rFonts w:hint="eastAsia" w:ascii="宋体" w:hAnsi="宋体" w:eastAsia="宋体" w:cs="宋体"/>
          <w:sz w:val="24"/>
          <w:szCs w:val="24"/>
        </w:rPr>
      </w:pPr>
    </w:p>
    <w:p w14:paraId="557810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 xml:space="preserve"> 改进策略</w:t>
      </w:r>
    </w:p>
    <w:p w14:paraId="7A272F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为提升模型在复杂场景下的鲁棒性，我们提出了以下改进策略：</w:t>
      </w:r>
    </w:p>
    <w:p w14:paraId="4636E4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强数据增强：增大 HSV 颜色抖动范围（h=0.05, s=0.7, v=0.5），模拟不同光照条件；</w:t>
      </w:r>
    </w:p>
    <w:p w14:paraId="42D59D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增大几何变换范围（旋转±15°、缩放 0.6、平移 0.15），提升对视角变化的鲁棒性</w:t>
      </w:r>
    </w:p>
    <w:p w14:paraId="18027F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Mosaic + MixUp + Copy-Paste：使用 Mosaic 拼接（4 张图）、MixUp 混合和 Copy-</w:t>
      </w:r>
    </w:p>
    <w:p w14:paraId="32D7C5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Paste 增强，特别针对小目标</w:t>
      </w:r>
    </w:p>
    <w:p w14:paraId="1AC9AC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余弦退火学习率：使用余弦退火调度（cos_lr=True），从 lr0=0.01 平滑衰减至</w:t>
      </w:r>
    </w:p>
    <w:p w14:paraId="45DFA7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lrf=0.001</w:t>
      </w:r>
    </w:p>
    <w:p w14:paraId="301849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标签平滑：label_smoothing=0.05，防止模型过度自信，提升泛化能力</w:t>
      </w:r>
    </w:p>
    <w:p w14:paraId="2ECD90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预热 + 早停：5 个 epoch 预热，30 个 epoch 早停耐心</w:t>
      </w:r>
    </w:p>
    <w:p w14:paraId="641440B6">
      <w:pPr>
        <w:rPr>
          <w:rFonts w:hint="eastAsia" w:ascii="宋体" w:hAnsi="宋体" w:eastAsia="宋体"/>
          <w:sz w:val="24"/>
          <w:szCs w:val="24"/>
        </w:rPr>
      </w:pPr>
    </w:p>
    <w:p w14:paraId="590690BE">
      <w:pPr>
        <w:rPr>
          <w:rFonts w:hint="eastAsia" w:ascii="宋体" w:hAnsi="宋体" w:eastAsia="宋体"/>
          <w:sz w:val="24"/>
          <w:szCs w:val="24"/>
        </w:rPr>
      </w:pPr>
    </w:p>
    <w:p w14:paraId="1610F542">
      <w:pPr>
        <w:rPr>
          <w:rFonts w:hint="eastAsia" w:ascii="宋体" w:hAnsi="宋体" w:eastAsia="宋体"/>
          <w:sz w:val="24"/>
          <w:szCs w:val="24"/>
        </w:rPr>
      </w:pPr>
    </w:p>
    <w:p w14:paraId="7DC7C69F">
      <w:pPr>
        <w:rPr>
          <w:rFonts w:hint="eastAsia" w:ascii="宋体" w:hAnsi="宋体" w:eastAsia="宋体"/>
          <w:sz w:val="24"/>
          <w:szCs w:val="24"/>
        </w:rPr>
      </w:pPr>
    </w:p>
    <w:p w14:paraId="027C3C09">
      <w:pPr>
        <w:rPr>
          <w:rFonts w:hint="eastAsia" w:ascii="宋体" w:hAnsi="宋体" w:eastAsia="宋体"/>
          <w:sz w:val="24"/>
          <w:szCs w:val="24"/>
        </w:rPr>
      </w:pPr>
    </w:p>
    <w:p w14:paraId="3959D0CF">
      <w:pPr>
        <w:rPr>
          <w:rFonts w:hint="eastAsia" w:ascii="宋体" w:hAnsi="宋体" w:eastAsia="宋体"/>
          <w:sz w:val="24"/>
          <w:szCs w:val="24"/>
        </w:rPr>
      </w:pPr>
    </w:p>
    <w:p w14:paraId="3EAC1C51">
      <w:pPr>
        <w:rPr>
          <w:rFonts w:hint="eastAsia" w:ascii="宋体" w:hAnsi="宋体" w:eastAsia="宋体"/>
          <w:sz w:val="24"/>
          <w:szCs w:val="24"/>
        </w:rPr>
      </w:pPr>
    </w:p>
    <w:p w14:paraId="38F39648">
      <w:pPr>
        <w:rPr>
          <w:rFonts w:hint="eastAsia" w:ascii="宋体" w:hAnsi="宋体" w:eastAsia="宋体"/>
          <w:sz w:val="24"/>
          <w:szCs w:val="24"/>
        </w:rPr>
      </w:pPr>
    </w:p>
    <w:p w14:paraId="44A2889B">
      <w:pPr>
        <w:rPr>
          <w:rFonts w:hint="eastAsia" w:ascii="宋体" w:hAnsi="宋体" w:eastAsia="宋体"/>
          <w:sz w:val="24"/>
          <w:szCs w:val="24"/>
        </w:rPr>
      </w:pPr>
    </w:p>
    <w:p w14:paraId="57139AF5">
      <w:pPr>
        <w:rPr>
          <w:rFonts w:hint="eastAsia" w:ascii="宋体" w:hAnsi="宋体" w:eastAsia="宋体"/>
          <w:sz w:val="24"/>
          <w:szCs w:val="24"/>
        </w:rPr>
      </w:pPr>
    </w:p>
    <w:p w14:paraId="750747D6">
      <w:pPr>
        <w:rPr>
          <w:rFonts w:hint="eastAsia" w:ascii="宋体" w:hAnsi="宋体" w:eastAsia="宋体"/>
          <w:sz w:val="24"/>
          <w:szCs w:val="24"/>
        </w:rPr>
      </w:pPr>
    </w:p>
    <w:p w14:paraId="2C5221C6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/>
          <w:sz w:val="24"/>
          <w:szCs w:val="24"/>
        </w:rPr>
        <w:t>、实验结果</w:t>
      </w:r>
    </w:p>
    <w:p w14:paraId="27A32EAE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3.1实验环境</w:t>
      </w:r>
    </w:p>
    <w:p w14:paraId="61635524">
      <w:r>
        <w:drawing>
          <wp:inline distT="0" distB="0" distL="0" distR="0">
            <wp:extent cx="5274310" cy="2416175"/>
            <wp:effectExtent l="0" t="0" r="2540" b="3175"/>
            <wp:docPr id="110941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132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DDBC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3.2模型性能对比</w:t>
      </w:r>
    </w:p>
    <w:p w14:paraId="58C65355">
      <w:r>
        <w:drawing>
          <wp:inline distT="0" distB="0" distL="0" distR="0">
            <wp:extent cx="5274310" cy="2074545"/>
            <wp:effectExtent l="0" t="0" r="2540" b="1905"/>
            <wp:docPr id="239740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4050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9ED7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结果分析：</w:t>
      </w:r>
    </w:p>
    <w:p w14:paraId="0C5E4734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</w:t>
      </w:r>
      <w:r>
        <w:rPr>
          <w:rFonts w:ascii="宋体" w:hAnsi="宋体" w:eastAsia="宋体"/>
          <w:sz w:val="24"/>
          <w:szCs w:val="24"/>
        </w:rPr>
        <w:t>mAP@0.5提升+3.3%</w:t>
      </w:r>
      <w:r>
        <w:rPr>
          <w:rFonts w:hint="eastAsia" w:ascii="宋体" w:hAnsi="宋体" w:eastAsia="宋体"/>
          <w:sz w:val="24"/>
          <w:szCs w:val="24"/>
        </w:rPr>
        <w:t>：</w:t>
      </w:r>
      <w:r>
        <w:rPr>
          <w:rFonts w:ascii="宋体" w:hAnsi="宋体" w:eastAsia="宋体"/>
          <w:sz w:val="24"/>
          <w:szCs w:val="24"/>
        </w:rPr>
        <w:t>改进模型从0.8685提升</w:t>
      </w:r>
      <w:r>
        <w:rPr>
          <w:rFonts w:hint="eastAsia" w:ascii="宋体" w:hAnsi="宋体" w:eastAsia="宋体"/>
          <w:sz w:val="24"/>
          <w:szCs w:val="24"/>
        </w:rPr>
        <w:t>至</w:t>
      </w:r>
      <w:r>
        <w:rPr>
          <w:rFonts w:ascii="宋体" w:hAnsi="宋体" w:eastAsia="宋体"/>
          <w:sz w:val="24"/>
          <w:szCs w:val="24"/>
        </w:rPr>
        <w:t>0.9015，远超75%的目标阈值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说明改进策略有效提升了模型的整体检测精度</w:t>
      </w:r>
    </w:p>
    <w:p w14:paraId="48B6AA08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</w:t>
      </w:r>
      <w:r>
        <w:rPr>
          <w:rFonts w:ascii="宋体" w:hAnsi="宋体" w:eastAsia="宋体"/>
          <w:sz w:val="24"/>
          <w:szCs w:val="24"/>
        </w:rPr>
        <w:t>Recall大幅提升+9.9%：</w:t>
      </w:r>
      <w:r>
        <w:rPr>
          <w:rFonts w:hint="eastAsia" w:ascii="宋体" w:hAnsi="宋体" w:eastAsia="宋体"/>
          <w:sz w:val="24"/>
          <w:szCs w:val="24"/>
        </w:rPr>
        <w:t>从</w:t>
      </w:r>
      <w:r>
        <w:rPr>
          <w:rFonts w:ascii="宋体" w:hAnsi="宋体" w:eastAsia="宋体"/>
          <w:sz w:val="24"/>
          <w:szCs w:val="24"/>
        </w:rPr>
        <w:t>0.7901提升至0.8895，这是本次改进最大的收获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ascii="宋体" w:hAnsi="宋体" w:eastAsia="宋体"/>
          <w:sz w:val="24"/>
          <w:szCs w:val="24"/>
        </w:rPr>
        <w:t>Recall 的提升意味着模型能够检测出更多真实的交通标志，大幅减少了漏检情况</w:t>
      </w:r>
    </w:p>
    <w:p w14:paraId="22A5D245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3、</w:t>
      </w:r>
      <w:r>
        <w:rPr>
          <w:rFonts w:ascii="宋体" w:hAnsi="宋体" w:eastAsia="宋体"/>
          <w:sz w:val="24"/>
          <w:szCs w:val="24"/>
        </w:rPr>
        <w:t>Precision 轻微下降 -1.3%：从0.9370小幅下降至0.9245，说明模型在检测到更多正样本</w:t>
      </w:r>
    </w:p>
    <w:p w14:paraId="0448E86F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的同时，也略微增加了误检。这是 Recall-Precision 之间的固有权衡</w:t>
      </w:r>
    </w:p>
    <w:p w14:paraId="7C09B03B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>F1-Score 提升+4.9%：从0.8573提升至0.9067，综合证明了改进策略的有效性</w:t>
      </w:r>
    </w:p>
    <w:p w14:paraId="297F2735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5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>mAP@0.5:0.95仅提升+0.2%：该指标对预测框的定位精度要求较高，提升幅度较小说明定位精度的提升需要针对性优化</w:t>
      </w:r>
    </w:p>
    <w:p w14:paraId="2BD722F8">
      <w:pPr>
        <w:rPr>
          <w:rFonts w:hint="eastAsia"/>
        </w:rPr>
      </w:pPr>
    </w:p>
    <w:p w14:paraId="6850A90E">
      <w:pPr>
        <w:rPr>
          <w:rFonts w:hint="eastAsia" w:ascii="宋体" w:hAnsi="宋体" w:eastAsia="宋体"/>
          <w:sz w:val="24"/>
          <w:szCs w:val="24"/>
        </w:rPr>
      </w:pPr>
    </w:p>
    <w:p w14:paraId="765AAE67">
      <w:pPr>
        <w:rPr>
          <w:rFonts w:hint="eastAsia" w:ascii="宋体" w:hAnsi="宋体" w:eastAsia="宋体"/>
          <w:sz w:val="24"/>
          <w:szCs w:val="24"/>
        </w:rPr>
      </w:pPr>
    </w:p>
    <w:p w14:paraId="3C2BC98F">
      <w:pPr>
        <w:rPr>
          <w:rFonts w:hint="eastAsia" w:ascii="宋体" w:hAnsi="宋体" w:eastAsia="宋体"/>
          <w:sz w:val="24"/>
          <w:szCs w:val="24"/>
        </w:rPr>
      </w:pPr>
    </w:p>
    <w:p w14:paraId="71081C80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3.3训练曲线分析</w:t>
      </w:r>
    </w:p>
    <w:p w14:paraId="5F085A20">
      <w:r>
        <w:drawing>
          <wp:inline distT="0" distB="0" distL="0" distR="0">
            <wp:extent cx="5274310" cy="1382395"/>
            <wp:effectExtent l="0" t="0" r="2540" b="8255"/>
            <wp:docPr id="619924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249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21799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Lose_curve_baseline</w:t>
      </w:r>
    </w:p>
    <w:p w14:paraId="505F8C75">
      <w:r>
        <w:drawing>
          <wp:inline distT="0" distB="0" distL="0" distR="0">
            <wp:extent cx="5274310" cy="1382395"/>
            <wp:effectExtent l="0" t="0" r="2540" b="8255"/>
            <wp:docPr id="12626903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90396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8391A">
      <w:r>
        <w:rPr>
          <w:rFonts w:hint="eastAsia" w:ascii="宋体" w:hAnsi="宋体" w:eastAsia="宋体"/>
          <w:sz w:val="24"/>
          <w:szCs w:val="24"/>
        </w:rPr>
        <w:t>Lose_curve_improved</w:t>
      </w:r>
    </w:p>
    <w:p w14:paraId="15A31396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训练损失曲线对比（Baseline vs Improved）</w:t>
      </w:r>
    </w:p>
    <w:p w14:paraId="03B5EB90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从训练曲线可以观察到以下关键现象：</w:t>
      </w:r>
    </w:p>
    <w:p w14:paraId="1991AFA9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</w:t>
      </w:r>
      <w:r>
        <w:rPr>
          <w:rFonts w:ascii="宋体" w:hAnsi="宋体" w:eastAsia="宋体"/>
          <w:sz w:val="24"/>
          <w:szCs w:val="24"/>
        </w:rPr>
        <w:t>收敛速度：改进模型的分类损失和回归损失在训练初期下降更快，说明强数据增强提供的多样化训练样本有助于模型更快学习</w:t>
      </w:r>
    </w:p>
    <w:p w14:paraId="540C9CEB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>收敛稳定性：改进模型的损失曲线波动更小，证明标签平滑和余弦退火学习率调度有效稳定了训练过程</w:t>
      </w:r>
    </w:p>
    <w:p w14:paraId="500F47AF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>最终收敛：模型在约 50-60 epoch 后达到收敛状态，改进模型的最终训练损失和验证损失均低于基线模型</w:t>
      </w:r>
    </w:p>
    <w:p w14:paraId="6292E548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>过拟合抑制：基线模型在约 70 epoch 后出现验证损失轻微上升的趋势，而改进模型由于数据增强和标签平滑的正则化效果，未观察到明显的过拟合现象</w:t>
      </w:r>
    </w:p>
    <w:p w14:paraId="7E968986"/>
    <w:p w14:paraId="18AE6A63">
      <w:pPr>
        <w:rPr>
          <w:rFonts w:ascii="宋体" w:hAnsi="宋体" w:eastAsia="宋体"/>
          <w:sz w:val="24"/>
          <w:szCs w:val="24"/>
        </w:rPr>
      </w:pPr>
    </w:p>
    <w:p w14:paraId="13E8F756">
      <w:pPr>
        <w:rPr>
          <w:rFonts w:ascii="宋体" w:hAnsi="宋体" w:eastAsia="宋体"/>
          <w:sz w:val="24"/>
          <w:szCs w:val="24"/>
        </w:rPr>
      </w:pPr>
    </w:p>
    <w:p w14:paraId="014CFF28">
      <w:pPr>
        <w:rPr>
          <w:rFonts w:ascii="宋体" w:hAnsi="宋体" w:eastAsia="宋体"/>
          <w:sz w:val="24"/>
          <w:szCs w:val="24"/>
        </w:rPr>
      </w:pPr>
    </w:p>
    <w:p w14:paraId="65F373D9">
      <w:pPr>
        <w:rPr>
          <w:rFonts w:ascii="宋体" w:hAnsi="宋体" w:eastAsia="宋体"/>
          <w:sz w:val="24"/>
          <w:szCs w:val="24"/>
        </w:rPr>
      </w:pPr>
    </w:p>
    <w:p w14:paraId="1F5D6F06">
      <w:pPr>
        <w:rPr>
          <w:rFonts w:ascii="宋体" w:hAnsi="宋体" w:eastAsia="宋体"/>
          <w:sz w:val="24"/>
          <w:szCs w:val="24"/>
        </w:rPr>
      </w:pPr>
    </w:p>
    <w:p w14:paraId="732DD079">
      <w:pPr>
        <w:rPr>
          <w:rFonts w:ascii="宋体" w:hAnsi="宋体" w:eastAsia="宋体"/>
          <w:sz w:val="24"/>
          <w:szCs w:val="24"/>
        </w:rPr>
      </w:pPr>
    </w:p>
    <w:p w14:paraId="09773E24">
      <w:pPr>
        <w:rPr>
          <w:rFonts w:ascii="宋体" w:hAnsi="宋体" w:eastAsia="宋体"/>
          <w:sz w:val="24"/>
          <w:szCs w:val="24"/>
        </w:rPr>
      </w:pPr>
    </w:p>
    <w:p w14:paraId="7CB30144">
      <w:pPr>
        <w:rPr>
          <w:rFonts w:ascii="宋体" w:hAnsi="宋体" w:eastAsia="宋体"/>
          <w:sz w:val="24"/>
          <w:szCs w:val="24"/>
        </w:rPr>
      </w:pPr>
    </w:p>
    <w:p w14:paraId="5653228A">
      <w:pPr>
        <w:rPr>
          <w:rFonts w:ascii="宋体" w:hAnsi="宋体" w:eastAsia="宋体"/>
          <w:sz w:val="24"/>
          <w:szCs w:val="24"/>
        </w:rPr>
      </w:pPr>
    </w:p>
    <w:p w14:paraId="5B8CE3A6">
      <w:pPr>
        <w:rPr>
          <w:rFonts w:ascii="宋体" w:hAnsi="宋体" w:eastAsia="宋体"/>
          <w:sz w:val="24"/>
          <w:szCs w:val="24"/>
        </w:rPr>
      </w:pPr>
    </w:p>
    <w:p w14:paraId="01231D91">
      <w:pPr>
        <w:rPr>
          <w:rFonts w:ascii="宋体" w:hAnsi="宋体" w:eastAsia="宋体"/>
          <w:sz w:val="24"/>
          <w:szCs w:val="24"/>
        </w:rPr>
      </w:pPr>
    </w:p>
    <w:p w14:paraId="358216F3">
      <w:pPr>
        <w:rPr>
          <w:rFonts w:ascii="宋体" w:hAnsi="宋体" w:eastAsia="宋体"/>
          <w:sz w:val="24"/>
          <w:szCs w:val="24"/>
        </w:rPr>
      </w:pPr>
    </w:p>
    <w:p w14:paraId="4DDD76AE">
      <w:pPr>
        <w:rPr>
          <w:rFonts w:ascii="宋体" w:hAnsi="宋体" w:eastAsia="宋体"/>
          <w:sz w:val="24"/>
          <w:szCs w:val="24"/>
        </w:rPr>
      </w:pPr>
    </w:p>
    <w:p w14:paraId="7B820040">
      <w:pPr>
        <w:rPr>
          <w:rFonts w:ascii="宋体" w:hAnsi="宋体" w:eastAsia="宋体"/>
          <w:sz w:val="24"/>
          <w:szCs w:val="24"/>
        </w:rPr>
      </w:pPr>
    </w:p>
    <w:p w14:paraId="3872F66A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3.4 混淆矩阵分析</w:t>
      </w:r>
    </w:p>
    <w:p w14:paraId="3D9BAC92">
      <w:r>
        <w:drawing>
          <wp:inline distT="0" distB="0" distL="0" distR="0">
            <wp:extent cx="5274310" cy="3956050"/>
            <wp:effectExtent l="0" t="0" r="2540" b="6350"/>
            <wp:docPr id="4161279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27957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2B1C9">
      <w:pPr>
        <w:rPr>
          <w:rFonts w:hint="eastAsia"/>
        </w:rPr>
      </w:pPr>
    </w:p>
    <w:p w14:paraId="7A58F490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混淆矩阵显示各个类别的分类准确率分布。主要发现包括：</w:t>
      </w:r>
    </w:p>
    <w:p w14:paraId="5DCF924A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>主干类别表现优异：speed_limit 作为样本最多的类别，分类准确率最高（约 95%），误报率最低</w:t>
      </w:r>
    </w:p>
    <w:p w14:paraId="7F2C03EF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>跨类别混淆：主要混淆发生在以下场景：</w:t>
      </w:r>
    </w:p>
    <w:p w14:paraId="569FECF9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 xml:space="preserve">speed_limit </w:t>
      </w:r>
      <w:r>
        <w:rPr>
          <w:rFonts w:ascii="Times New Roman" w:hAnsi="Times New Roman" w:eastAsia="宋体" w:cs="Times New Roman"/>
          <w:sz w:val="24"/>
          <w:szCs w:val="24"/>
        </w:rPr>
        <w:t>↔</w:t>
      </w:r>
      <w:r>
        <w:rPr>
          <w:rFonts w:ascii="宋体" w:hAnsi="宋体" w:eastAsia="宋体"/>
          <w:sz w:val="24"/>
          <w:szCs w:val="24"/>
        </w:rPr>
        <w:t xml:space="preserve"> no_entry：两者均为圆形红色标志，视觉特征相似，容易被混淆</w:t>
      </w:r>
    </w:p>
    <w:p w14:paraId="5052DDC1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 xml:space="preserve">direction </w:t>
      </w:r>
      <w:r>
        <w:rPr>
          <w:rFonts w:ascii="Times New Roman" w:hAnsi="Times New Roman" w:eastAsia="宋体" w:cs="Times New Roman"/>
          <w:sz w:val="24"/>
          <w:szCs w:val="24"/>
        </w:rPr>
        <w:t>↔</w:t>
      </w:r>
      <w:r>
        <w:rPr>
          <w:rFonts w:ascii="宋体" w:hAnsi="宋体" w:eastAsia="宋体"/>
          <w:sz w:val="24"/>
          <w:szCs w:val="24"/>
        </w:rPr>
        <w:t xml:space="preserve"> crosswalk：部分方向指示标志含有白色图案，与斑马线的局部纹理存在相似</w:t>
      </w:r>
    </w:p>
    <w:p w14:paraId="16121207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性</w:t>
      </w:r>
    </w:p>
    <w:p w14:paraId="2A8AFEAE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5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>类别不平衡影响：样本量较少的类别（如 crosswalk）的召回率相对较低，验证了数据增强中 Copy-Paste 策略对小样本类别的重要性</w:t>
      </w:r>
    </w:p>
    <w:p w14:paraId="39925486">
      <w:pPr>
        <w:rPr>
          <w:rFonts w:hint="eastAsia"/>
        </w:rPr>
      </w:pPr>
      <w:r>
        <w:rPr>
          <w:rFonts w:hint="eastAsia" w:ascii="宋体" w:hAnsi="宋体" w:eastAsia="宋体"/>
          <w:sz w:val="24"/>
          <w:szCs w:val="24"/>
        </w:rPr>
        <w:t>6、</w:t>
      </w:r>
      <w:r>
        <w:rPr>
          <w:rFonts w:ascii="宋体" w:hAnsi="宋体" w:eastAsia="宋体"/>
          <w:sz w:val="24"/>
          <w:szCs w:val="24"/>
        </w:rPr>
        <w:t>背景误检：部分背景区域被误检为交通标志，主要出现在含有圆形物体（如广告牌、车灯）的场景</w:t>
      </w:r>
    </w:p>
    <w:p w14:paraId="0F50BB4A">
      <w:pPr>
        <w:rPr>
          <w:rFonts w:hint="eastAsia"/>
        </w:rPr>
      </w:pPr>
    </w:p>
    <w:p w14:paraId="58A3B3CE">
      <w:pPr>
        <w:rPr>
          <w:rFonts w:hint="eastAsia"/>
        </w:rPr>
      </w:pPr>
    </w:p>
    <w:p w14:paraId="69B84390">
      <w:pPr>
        <w:rPr>
          <w:rFonts w:hint="eastAsia"/>
        </w:rPr>
      </w:pPr>
    </w:p>
    <w:p w14:paraId="716B6881">
      <w:pPr>
        <w:rPr>
          <w:rFonts w:hint="eastAsia"/>
        </w:rPr>
      </w:pPr>
    </w:p>
    <w:p w14:paraId="39955A24">
      <w:pPr>
        <w:rPr>
          <w:rFonts w:hint="eastAsia"/>
        </w:rPr>
      </w:pPr>
    </w:p>
    <w:p w14:paraId="076CA2B2">
      <w:pPr>
        <w:rPr>
          <w:rFonts w:hint="eastAsia"/>
        </w:rPr>
      </w:pPr>
    </w:p>
    <w:p w14:paraId="606463B3">
      <w:pPr>
        <w:rPr>
          <w:rFonts w:hint="eastAsia"/>
        </w:rPr>
      </w:pPr>
    </w:p>
    <w:p w14:paraId="341B9658">
      <w:pPr>
        <w:rPr>
          <w:rFonts w:hint="eastAsia"/>
        </w:rPr>
      </w:pPr>
    </w:p>
    <w:p w14:paraId="11AD8FBB">
      <w:pPr>
        <w:rPr>
          <w:rFonts w:hint="eastAsia"/>
        </w:rPr>
      </w:pPr>
    </w:p>
    <w:p w14:paraId="346D16F4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3.5不同场景条件对比</w:t>
      </w:r>
    </w:p>
    <w:p w14:paraId="1B01F7BC">
      <w:r>
        <w:drawing>
          <wp:inline distT="0" distB="0" distL="0" distR="0">
            <wp:extent cx="5274310" cy="1593215"/>
            <wp:effectExtent l="0" t="0" r="2540" b="6985"/>
            <wp:docPr id="9574547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4789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A842B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我们根据图片的亮度和模糊度将验证集分为四类场景，各类场景的性能表现如下：</w:t>
      </w:r>
    </w:p>
    <w:p w14:paraId="11605710">
      <w:r>
        <w:drawing>
          <wp:inline distT="0" distB="0" distL="0" distR="0">
            <wp:extent cx="5274310" cy="1774825"/>
            <wp:effectExtent l="0" t="0" r="2540" b="0"/>
            <wp:docPr id="836329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2903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378F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结果分析：</w:t>
      </w:r>
    </w:p>
    <w:p w14:paraId="433951ED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</w:t>
      </w:r>
      <w:r>
        <w:rPr>
          <w:rFonts w:ascii="宋体" w:hAnsi="宋体" w:eastAsia="宋体"/>
          <w:sz w:val="24"/>
          <w:szCs w:val="24"/>
        </w:rPr>
        <w:t>明亮和正常光照条件下，模型性能最优（mAP@0.5 ≈ 0.95+），说明 YOLOv8s 在常规条</w:t>
      </w:r>
    </w:p>
    <w:p w14:paraId="0908B6EF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件下具有强大的检测能力</w:t>
      </w:r>
    </w:p>
    <w:p w14:paraId="012EA282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</w:t>
      </w:r>
      <w:r>
        <w:rPr>
          <w:rFonts w:ascii="宋体" w:hAnsi="宋体" w:eastAsia="宋体"/>
          <w:sz w:val="24"/>
          <w:szCs w:val="24"/>
        </w:rPr>
        <w:t>低光条件下，性能下降至约 0.878（降幅约 8%），主要原因是：(1) 夜间标志与背景的对比度降低；(2) 车灯反光造成的局部过曝；(3) 标志表面反光导致颜色失真</w:t>
      </w:r>
    </w:p>
    <w:p w14:paraId="751D0C25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3、</w:t>
      </w:r>
      <w:r>
        <w:rPr>
          <w:rFonts w:ascii="宋体" w:hAnsi="宋体" w:eastAsia="宋体"/>
          <w:sz w:val="24"/>
          <w:szCs w:val="24"/>
        </w:rPr>
        <w:t>模糊条件下，性能下降最为明显（mAP@0.5 = 0.831，降幅约 13%），直观反映了图像清</w:t>
      </w:r>
    </w:p>
    <w:p w14:paraId="7667ED1D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晰度对目标检测的重要影响。模糊主要来源于：(1) 车辆运动造成的运动模糊；(2) 相机失</w:t>
      </w:r>
    </w:p>
    <w:p w14:paraId="0C0058B7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焦；(3) 雨雪天气</w:t>
      </w:r>
    </w:p>
    <w:p w14:paraId="59A08CCC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4、</w:t>
      </w:r>
      <w:r>
        <w:rPr>
          <w:rFonts w:ascii="宋体" w:hAnsi="宋体" w:eastAsia="宋体"/>
          <w:sz w:val="24"/>
          <w:szCs w:val="24"/>
        </w:rPr>
        <w:t>改进模型在所有场景下均优于基线模型，尤其是在模糊场景下提升最为显著（+5.2%），说明改进策略中的强数据增强有效提升了模型的鲁棒性</w:t>
      </w:r>
    </w:p>
    <w:p w14:paraId="3EEC05AA"/>
    <w:p w14:paraId="0A4054CF"/>
    <w:p w14:paraId="2F7C77E6"/>
    <w:p w14:paraId="7423B02D"/>
    <w:p w14:paraId="4E48D8F7">
      <w:pPr>
        <w:rPr>
          <w:rFonts w:hint="eastAsia"/>
        </w:rPr>
      </w:pPr>
    </w:p>
    <w:p w14:paraId="7AF6AF7E">
      <w:pPr>
        <w:rPr>
          <w:rFonts w:hint="eastAsia"/>
        </w:rPr>
      </w:pPr>
    </w:p>
    <w:p w14:paraId="14065454">
      <w:pPr>
        <w:rPr>
          <w:rFonts w:hint="eastAsia"/>
        </w:rPr>
      </w:pPr>
    </w:p>
    <w:p w14:paraId="314183E2">
      <w:pPr>
        <w:rPr>
          <w:rFonts w:hint="eastAsia"/>
        </w:rPr>
      </w:pPr>
    </w:p>
    <w:p w14:paraId="055C7350">
      <w:pPr>
        <w:rPr>
          <w:rFonts w:hint="eastAsia"/>
        </w:rPr>
      </w:pPr>
      <w:bookmarkStart w:id="0" w:name="_GoBack"/>
      <w:bookmarkEnd w:id="0"/>
    </w:p>
    <w:p w14:paraId="36C7F11A">
      <w:pPr>
        <w:rPr>
          <w:rFonts w:hint="eastAsia"/>
        </w:rPr>
      </w:pPr>
    </w:p>
    <w:p w14:paraId="4927DA2D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3.6误差与漏检分析</w:t>
      </w:r>
    </w:p>
    <w:p w14:paraId="08DAC1CF">
      <w:r>
        <w:drawing>
          <wp:inline distT="0" distB="0" distL="0" distR="0">
            <wp:extent cx="5274310" cy="2658110"/>
            <wp:effectExtent l="0" t="0" r="2540" b="8890"/>
            <wp:docPr id="19505973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97324" name="图片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4C5CB"/>
    <w:p w14:paraId="0E562438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我们对验证集样本进行了详细的误检/漏检分析，统计结果如下：</w:t>
      </w:r>
    </w:p>
    <w:p w14:paraId="3AB28EB3">
      <w:r>
        <w:drawing>
          <wp:inline distT="0" distB="0" distL="0" distR="0">
            <wp:extent cx="5274310" cy="1661160"/>
            <wp:effectExtent l="0" t="0" r="2540" b="0"/>
            <wp:docPr id="1477733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3399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6589">
      <w:pPr>
        <w:rPr>
          <w:rFonts w:hint="eastAsia"/>
        </w:rPr>
      </w:pPr>
    </w:p>
    <w:p w14:paraId="41396973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误检案例分析</w:t>
      </w:r>
    </w:p>
    <w:p w14:paraId="528F3179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模型在复杂背景中将非交通标志物体误判为交通标志，主要出现在以下场景：</w:t>
      </w:r>
    </w:p>
    <w:p w14:paraId="5A69E0D9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</w:t>
      </w:r>
      <w:r>
        <w:rPr>
          <w:rFonts w:ascii="宋体" w:hAnsi="宋体" w:eastAsia="宋体"/>
          <w:sz w:val="24"/>
          <w:szCs w:val="24"/>
        </w:rPr>
        <w:t>圆形广告牌/标志物：背景中与交通标志形状相似的圆形物体最具欺骗性</w:t>
      </w:r>
    </w:p>
    <w:p w14:paraId="2AE3C245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</w:t>
      </w:r>
      <w:r>
        <w:rPr>
          <w:rFonts w:ascii="宋体" w:hAnsi="宋体" w:eastAsia="宋体"/>
          <w:sz w:val="24"/>
          <w:szCs w:val="24"/>
        </w:rPr>
        <w:t>红色/蓝色区域：颜色特征与交通标志（尤其是限速和禁止标志）相近的区域</w:t>
      </w:r>
    </w:p>
    <w:p w14:paraId="7EA097F2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3、</w:t>
      </w:r>
      <w:r>
        <w:rPr>
          <w:rFonts w:ascii="宋体" w:hAnsi="宋体" w:eastAsia="宋体"/>
          <w:sz w:val="24"/>
          <w:szCs w:val="24"/>
        </w:rPr>
        <w:t>重复纹理：建筑物上的规则图案被误认为标志边缘特征</w:t>
      </w:r>
    </w:p>
    <w:p w14:paraId="4E9D6159">
      <w:pPr>
        <w:rPr>
          <w:rFonts w:ascii="宋体" w:hAnsi="宋体" w:eastAsia="宋体"/>
          <w:sz w:val="24"/>
          <w:szCs w:val="24"/>
        </w:rPr>
      </w:pPr>
    </w:p>
    <w:p w14:paraId="71F218AB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漏检案例分析</w:t>
      </w:r>
    </w:p>
    <w:p w14:paraId="6FA95EC4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模型未能检测到实际存在的交通标志，主要原因包括：</w:t>
      </w:r>
    </w:p>
    <w:p w14:paraId="18979F96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</w:t>
      </w:r>
      <w:r>
        <w:rPr>
          <w:rFonts w:ascii="宋体" w:hAnsi="宋体" w:eastAsia="宋体"/>
          <w:sz w:val="24"/>
          <w:szCs w:val="24"/>
        </w:rPr>
        <w:t>小目标（远处标志）：占比最大的漏检原因，远处交通标志在图像中仅占据极少量像素，特征信息不足</w:t>
      </w:r>
    </w:p>
    <w:p w14:paraId="0BD2086D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</w:t>
      </w:r>
      <w:r>
        <w:rPr>
          <w:rFonts w:ascii="宋体" w:hAnsi="宋体" w:eastAsia="宋体"/>
          <w:sz w:val="24"/>
          <w:szCs w:val="24"/>
        </w:rPr>
        <w:t>遮挡：树枝、其他车辆、建筑物等对标志的部分遮挡</w:t>
      </w:r>
    </w:p>
    <w:p w14:paraId="1399E34A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3、</w:t>
      </w:r>
      <w:r>
        <w:rPr>
          <w:rFonts w:ascii="宋体" w:hAnsi="宋体" w:eastAsia="宋体"/>
          <w:sz w:val="24"/>
          <w:szCs w:val="24"/>
        </w:rPr>
        <w:t>极端光照：背光、逆光或强反光导致标志表面细节不可辨</w:t>
      </w:r>
    </w:p>
    <w:p w14:paraId="11B14F60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4、</w:t>
      </w:r>
      <w:r>
        <w:rPr>
          <w:rFonts w:ascii="宋体" w:hAnsi="宋体" w:eastAsia="宋体"/>
          <w:sz w:val="24"/>
          <w:szCs w:val="24"/>
        </w:rPr>
        <w:t>旋转/倾斜：非正视角下的交通标志呈现明显形变</w:t>
      </w:r>
    </w:p>
    <w:p w14:paraId="1D30FE89">
      <w:pPr>
        <w:rPr>
          <w:rFonts w:ascii="宋体" w:hAnsi="宋体" w:eastAsia="宋体"/>
          <w:sz w:val="24"/>
          <w:szCs w:val="24"/>
        </w:rPr>
      </w:pPr>
    </w:p>
    <w:p w14:paraId="5A3EBFE9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改进建议</w:t>
      </w:r>
    </w:p>
    <w:p w14:paraId="345523AA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针对上述问题，我们提出以下改进策略：</w:t>
      </w:r>
    </w:p>
    <w:p w14:paraId="345400CF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</w:t>
      </w:r>
      <w:r>
        <w:rPr>
          <w:rFonts w:ascii="宋体" w:hAnsi="宋体" w:eastAsia="宋体"/>
          <w:sz w:val="24"/>
          <w:szCs w:val="24"/>
        </w:rPr>
        <w:t>多尺度训练：使用更高分辨率输入（如 1280×1280）或多尺度训练策略，增强小目标检测能力</w:t>
      </w:r>
    </w:p>
    <w:p w14:paraId="1831871E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</w:t>
      </w:r>
      <w:r>
        <w:rPr>
          <w:rFonts w:ascii="宋体" w:hAnsi="宋体" w:eastAsia="宋体"/>
          <w:sz w:val="24"/>
          <w:szCs w:val="24"/>
        </w:rPr>
        <w:t>困难样本挖掘：在训练集中增加更多遮挡和小目标样本，或使用在线困难样本挖掘（OHEM）</w:t>
      </w:r>
    </w:p>
    <w:p w14:paraId="3F193E93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3、</w:t>
      </w:r>
      <w:r>
        <w:rPr>
          <w:rFonts w:ascii="宋体" w:hAnsi="宋体" w:eastAsia="宋体"/>
          <w:sz w:val="24"/>
          <w:szCs w:val="24"/>
        </w:rPr>
        <w:t>注意力机制：在 Backbone 中引入 CBAM 或 SE 注意力模块，增强对关键区域的关注</w:t>
      </w:r>
    </w:p>
    <w:p w14:paraId="3759B420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4、</w:t>
      </w:r>
      <w:r>
        <w:rPr>
          <w:rFonts w:ascii="宋体" w:hAnsi="宋体" w:eastAsia="宋体"/>
          <w:sz w:val="24"/>
          <w:szCs w:val="24"/>
        </w:rPr>
        <w:t>数据重采样：对低光、模糊等困难场景的样本进行过采样，提升模型在这些条件下的表现</w:t>
      </w:r>
    </w:p>
    <w:p w14:paraId="7F204952">
      <w:pPr>
        <w:rPr>
          <w:rFonts w:ascii="宋体" w:hAnsi="宋体" w:eastAsia="宋体"/>
          <w:sz w:val="24"/>
          <w:szCs w:val="24"/>
        </w:rPr>
      </w:pPr>
    </w:p>
    <w:p w14:paraId="0A68491F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3.7交互可视化测试平台</w:t>
      </w:r>
    </w:p>
    <w:p w14:paraId="1D15B378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为直观验证改进YOLOv8交通标志检测模型的泛化性能，搭建了交互式可视化系统，支持本地图片上传，后台模型推理，检测框与置信度可视化输出，实现模型检测效果在线可视化测试。</w:t>
      </w:r>
    </w:p>
    <w:p w14:paraId="24AD005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59375" cy="3220720"/>
            <wp:effectExtent l="0" t="0" r="6985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3220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2FF3E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3291205"/>
            <wp:effectExtent l="0" t="0" r="13970" b="6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6567F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329184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B21C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13680" cy="3321050"/>
            <wp:effectExtent l="0" t="0" r="5080" b="127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332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BBC6FD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19395" cy="3303905"/>
            <wp:effectExtent l="0" t="0" r="14605" b="317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5319395" cy="3303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5A0B78">
      <w:pPr>
        <w:rPr>
          <w:rFonts w:hint="eastAsia" w:ascii="宋体" w:hAnsi="宋体" w:eastAsia="宋体"/>
          <w:sz w:val="24"/>
          <w:szCs w:val="24"/>
        </w:rPr>
      </w:pPr>
    </w:p>
    <w:p w14:paraId="2C23F68E">
      <w:pPr>
        <w:rPr>
          <w:rFonts w:hint="eastAsia" w:ascii="宋体" w:hAnsi="宋体" w:eastAsia="宋体"/>
          <w:sz w:val="24"/>
          <w:szCs w:val="24"/>
        </w:rPr>
      </w:pPr>
    </w:p>
    <w:p w14:paraId="63AD7E05">
      <w:pPr>
        <w:rPr>
          <w:rFonts w:hint="eastAsia" w:ascii="宋体" w:hAnsi="宋体" w:eastAsia="宋体"/>
          <w:sz w:val="24"/>
          <w:szCs w:val="24"/>
        </w:rPr>
      </w:pPr>
    </w:p>
    <w:p w14:paraId="0699C63E">
      <w:pPr>
        <w:rPr>
          <w:rFonts w:hint="eastAsia" w:ascii="宋体" w:hAnsi="宋体" w:eastAsia="宋体"/>
          <w:sz w:val="24"/>
          <w:szCs w:val="24"/>
        </w:rPr>
      </w:pPr>
    </w:p>
    <w:p w14:paraId="056BC444">
      <w:pPr>
        <w:rPr>
          <w:rFonts w:hint="eastAsia" w:ascii="宋体" w:hAnsi="宋体" w:eastAsia="宋体"/>
          <w:sz w:val="24"/>
          <w:szCs w:val="24"/>
        </w:rPr>
      </w:pPr>
    </w:p>
    <w:p w14:paraId="21ED60E7">
      <w:pPr>
        <w:rPr>
          <w:rFonts w:hint="eastAsia" w:ascii="宋体" w:hAnsi="宋体" w:eastAsia="宋体"/>
          <w:sz w:val="24"/>
          <w:szCs w:val="24"/>
        </w:rPr>
      </w:pPr>
    </w:p>
    <w:p w14:paraId="72D21140">
      <w:pPr>
        <w:rPr>
          <w:rFonts w:hint="eastAsia" w:ascii="宋体" w:hAnsi="宋体" w:eastAsia="宋体"/>
          <w:sz w:val="24"/>
          <w:szCs w:val="24"/>
        </w:rPr>
      </w:pPr>
    </w:p>
    <w:p w14:paraId="002241A4">
      <w:pPr>
        <w:rPr>
          <w:rFonts w:hint="eastAsia" w:ascii="宋体" w:hAnsi="宋体" w:eastAsia="宋体"/>
          <w:sz w:val="24"/>
          <w:szCs w:val="24"/>
        </w:rPr>
      </w:pPr>
    </w:p>
    <w:p w14:paraId="5D57987C">
      <w:pPr>
        <w:rPr>
          <w:rFonts w:hint="eastAsia" w:ascii="宋体" w:hAnsi="宋体" w:eastAsia="宋体"/>
          <w:sz w:val="24"/>
          <w:szCs w:val="24"/>
        </w:rPr>
      </w:pPr>
    </w:p>
    <w:p w14:paraId="241D7C30">
      <w:pPr>
        <w:rPr>
          <w:rFonts w:hint="eastAsia" w:ascii="宋体" w:hAnsi="宋体" w:eastAsia="宋体"/>
          <w:sz w:val="24"/>
          <w:szCs w:val="24"/>
        </w:rPr>
      </w:pPr>
    </w:p>
    <w:p w14:paraId="78D5B3AE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/>
          <w:sz w:val="24"/>
          <w:szCs w:val="24"/>
        </w:rPr>
        <w:t>消融实验</w:t>
      </w:r>
    </w:p>
    <w:p w14:paraId="7A9DF860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为了验证各项改进策略的独立贡献，我们进行了消融实验：</w:t>
      </w:r>
    </w:p>
    <w:p w14:paraId="3D05AEDC">
      <w:r>
        <w:drawing>
          <wp:inline distT="0" distB="0" distL="0" distR="0">
            <wp:extent cx="5274310" cy="2403475"/>
            <wp:effectExtent l="0" t="0" r="2540" b="0"/>
            <wp:docPr id="874146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4691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1ADB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消融实验表明：</w:t>
      </w:r>
    </w:p>
    <w:p w14:paraId="1D7CFB9B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</w:t>
      </w:r>
      <w:r>
        <w:rPr>
          <w:rFonts w:ascii="宋体" w:hAnsi="宋体" w:eastAsia="宋体"/>
          <w:sz w:val="24"/>
          <w:szCs w:val="24"/>
        </w:rPr>
        <w:t>强数据增强贡献最大（+2.4% mAP），说明数据多样性对模型泛化至关重要</w:t>
      </w:r>
    </w:p>
    <w:p w14:paraId="5268215E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</w:t>
      </w:r>
      <w:r>
        <w:rPr>
          <w:rFonts w:ascii="宋体" w:hAnsi="宋体" w:eastAsia="宋体"/>
          <w:sz w:val="24"/>
          <w:szCs w:val="24"/>
        </w:rPr>
        <w:t xml:space="preserve">MixUp + Copy-Paste 进一步提升了 Recall（+3.2%），特别对小目标检测有效 </w:t>
      </w:r>
    </w:p>
    <w:p w14:paraId="270F29A2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3、</w:t>
      </w:r>
      <w:r>
        <w:rPr>
          <w:rFonts w:ascii="宋体" w:hAnsi="宋体" w:eastAsia="宋体"/>
          <w:sz w:val="24"/>
          <w:szCs w:val="24"/>
        </w:rPr>
        <w:t xml:space="preserve">标签平滑单独贡献较小（+0.8%），但与其他策略结合时发挥协同作用 </w:t>
      </w:r>
    </w:p>
    <w:p w14:paraId="0E762112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4、</w:t>
      </w:r>
      <w:r>
        <w:rPr>
          <w:rFonts w:ascii="宋体" w:hAnsi="宋体" w:eastAsia="宋体"/>
          <w:sz w:val="24"/>
          <w:szCs w:val="24"/>
        </w:rPr>
        <w:t>各项改进之间存在正向协同，组合使用时效果优于单独使用</w:t>
      </w:r>
    </w:p>
    <w:p w14:paraId="33F5A7E1">
      <w:pPr>
        <w:rPr>
          <w:rFonts w:hint="eastAsia" w:ascii="宋体" w:hAnsi="宋体" w:eastAsia="宋体" w:cs="宋体"/>
          <w:sz w:val="24"/>
          <w:szCs w:val="24"/>
        </w:rPr>
      </w:pPr>
    </w:p>
    <w:p w14:paraId="879A9584">
      <w:pPr>
        <w:snapToGrid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四、结论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4.1工作总结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本实验成功实现了基于 YOLOv8的交通标志检测与识别系统，在GTSDB 数据集上完成了5类交通标志的检测任务。主要贡献包括：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类别映射方案：设计了合理的 43⟶5 类别映射方案，将细粒度分类适配为实际驾驶场景中的核心类别，有效缓解了长尾分布问题。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2.改进策略体系：通过强数据增强（HSV 抖动、几何变换、MixUp、Copy-Paste）、余弦退火学习率、标签平滑和预热策略等多维度改进，有效提升了模型在不同场景下的鲁棒性。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3.系统对比分析：对不同场景条件（明亮、正常、低光、模糊）下的检测性能进行了系统的消融实验和对比分析。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4.错误分析：深入分析了误检和漏检案例，揭示了模型在不同场景下的表现差异和局限性，为进一步改进提供了明确方向。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4.2 最终指标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最终模型在验证集上达到了以下关键指标：-mAP@0.5 = 0.9015（Improved），远超课程要求的75% 阈值 - F1-Score = 0.9067，综合精度和召回率的平衡表现-Recall从 0.7901 大幅提升至 0.8895（+9.9%），验证了改进策略在有限数据场景下对漏检问题的显著改善效果。</w:t>
      </w:r>
    </w:p>
    <w:p w14:paraId="D5F8DBC7">
      <w:pPr>
        <w:snapToGrid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4.3 未来工作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后续工作可以在以下方向继续深入：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模型部署优化：将模型转换为 ONNX格式，使用 TensorRT 进行推理加速，实现在嵌入式平台（如 NVIDIA Jetson）上的实时部署。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视频流目标跟踪：在检测基础上集成 SORT / DeepSORT 跟踪算法，实现视频流中的稳定目标跟踪和时序一致性约束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3.类别扩展：恢复 43类细粒度分类能力，通过多阶段检测+分类流水线或端到端多标签检测实现。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4.多模态融合：结合语义分割信息增强对道路场景的理解，在极端条件下提供更鲁棒的检测结果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5.模型轻量化：探索 YOLOv8n或模型剪枝、量化等技术，在保持精度的同时进一步提升检测速度</w:t>
      </w:r>
    </w:p>
    <w:p w14:paraId="243ADF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53A"/>
    <w:rsid w:val="00041E81"/>
    <w:rsid w:val="000B6401"/>
    <w:rsid w:val="000E3FD6"/>
    <w:rsid w:val="00143AA8"/>
    <w:rsid w:val="00232C65"/>
    <w:rsid w:val="00246DAF"/>
    <w:rsid w:val="00434D01"/>
    <w:rsid w:val="004D0240"/>
    <w:rsid w:val="00804E91"/>
    <w:rsid w:val="009769BF"/>
    <w:rsid w:val="009B4032"/>
    <w:rsid w:val="00A05E2C"/>
    <w:rsid w:val="00C632A5"/>
    <w:rsid w:val="00FB653A"/>
    <w:rsid w:val="2C3A7058"/>
    <w:rsid w:val="738B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4793</Words>
  <Characters>6210</Characters>
  <Lines>16</Lines>
  <Paragraphs>4</Paragraphs>
  <TotalTime>22</TotalTime>
  <ScaleCrop>false</ScaleCrop>
  <LinksUpToDate>false</LinksUpToDate>
  <CharactersWithSpaces>6743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2026-06-14T03:16:00Z</dcterms:created>
  <dc:creator>虹力 王</dc:creator>
  <cp:lastModifiedBy>柒凉</cp:lastModifiedBy>
  <dcterms:modified xsi:type="dcterms:W3CDTF">2026-06-16T14:45:21Z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eyJoZGlkIjoiZTQ1OGU3ZjZlODUxYjQ0MGRjOTRiODY0OGRkMDE2YWIiLCJ1c2VySWQiOiIxNjMyMTE3OTgxIn0=</vt:lpwstr>
  </property>
  <property fmtid="{D5CDD505-2E9C-101B-9397-08002B2CF9AE}" pid="3" name="KSOProductBuildVer">
    <vt:lpwstr>2052-12.1.0.26895</vt:lpwstr>
  </property>
  <property fmtid="{D5CDD505-2E9C-101B-9397-08002B2CF9AE}" pid="4" name="ICV">
    <vt:lpwstr>4F064798B1C845618D2FFB3E9EDF051D_12</vt:lpwstr>
  </property>
</Properties>
</file>