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3BEF1" w14:textId="49FAD559" w:rsidR="007160BB" w:rsidRPr="006D5DF8" w:rsidRDefault="007160BB" w:rsidP="006D5DF8">
      <w:pPr>
        <w:pStyle w:val="1"/>
        <w:spacing w:before="0" w:afterLines="100" w:after="312" w:line="240" w:lineRule="auto"/>
        <w:ind w:leftChars="300" w:left="720" w:rightChars="300" w:right="720"/>
        <w:jc w:val="center"/>
        <w:rPr>
          <w:sz w:val="36"/>
          <w:szCs w:val="36"/>
        </w:rPr>
      </w:pPr>
      <w:proofErr w:type="spellStart"/>
      <w:r w:rsidRPr="006D5DF8">
        <w:rPr>
          <w:sz w:val="36"/>
          <w:szCs w:val="36"/>
        </w:rPr>
        <w:t>novoPathFinder</w:t>
      </w:r>
      <w:proofErr w:type="spellEnd"/>
      <w:r w:rsidRPr="006D5DF8">
        <w:rPr>
          <w:sz w:val="36"/>
          <w:szCs w:val="36"/>
        </w:rPr>
        <w:t>: a webserver of designing</w:t>
      </w:r>
      <w:r w:rsidRPr="006D5DF8">
        <w:rPr>
          <w:rFonts w:hint="eastAsia"/>
          <w:sz w:val="36"/>
          <w:szCs w:val="36"/>
        </w:rPr>
        <w:t xml:space="preserve"> </w:t>
      </w:r>
      <w:r w:rsidRPr="006D5DF8">
        <w:rPr>
          <w:sz w:val="36"/>
          <w:szCs w:val="36"/>
        </w:rPr>
        <w:t>novel-pathway with integrating GEM-model</w:t>
      </w:r>
    </w:p>
    <w:p w14:paraId="7C9E4C35" w14:textId="469A4D4F" w:rsidR="007160BB" w:rsidRPr="00173886" w:rsidRDefault="007160BB" w:rsidP="00F922A8">
      <w:pPr>
        <w:pStyle w:val="a7"/>
        <w:spacing w:after="156"/>
        <w:jc w:val="left"/>
        <w:rPr>
          <w:sz w:val="28"/>
          <w:szCs w:val="28"/>
        </w:rPr>
      </w:pPr>
      <w:r w:rsidRPr="00173886">
        <w:rPr>
          <w:sz w:val="28"/>
          <w:szCs w:val="28"/>
        </w:rPr>
        <w:t>Pathway evaluation criteria</w:t>
      </w:r>
      <w:r w:rsidRPr="00173886">
        <w:rPr>
          <w:rFonts w:hint="eastAsia"/>
          <w:sz w:val="28"/>
          <w:szCs w:val="28"/>
        </w:rPr>
        <w:t>（路径评价标准）</w:t>
      </w:r>
    </w:p>
    <w:p w14:paraId="0D8E3FC5" w14:textId="2D6C3B9F" w:rsidR="00173886" w:rsidRDefault="00682F8A">
      <w:pPr>
        <w:spacing w:after="156"/>
      </w:pPr>
      <w:r w:rsidRPr="00682F8A">
        <w:rPr>
          <w:rFonts w:hint="eastAsia"/>
        </w:rPr>
        <w:t>为了评估预测的途径，</w:t>
      </w:r>
      <w:proofErr w:type="spellStart"/>
      <w:r w:rsidRPr="00682F8A">
        <w:t>novoPathFinder</w:t>
      </w:r>
      <w:proofErr w:type="spellEnd"/>
      <w:r w:rsidRPr="00682F8A">
        <w:t>使用了几种方法，包括</w:t>
      </w:r>
      <w:r w:rsidRPr="00CF15B6">
        <w:rPr>
          <w:color w:val="FF0000"/>
        </w:rPr>
        <w:t>总化学计量转化、理论产</w:t>
      </w:r>
      <w:r w:rsidR="00173886">
        <w:rPr>
          <w:rFonts w:hint="eastAsia"/>
          <w:color w:val="FF0000"/>
        </w:rPr>
        <w:t>量</w:t>
      </w:r>
      <w:r w:rsidRPr="00CF15B6">
        <w:rPr>
          <w:color w:val="FF0000"/>
        </w:rPr>
        <w:t>、热力学可行性、酶混杂惩罚分数、</w:t>
      </w:r>
      <w:r w:rsidR="00CF15B6">
        <w:rPr>
          <w:rFonts w:hint="eastAsia"/>
          <w:color w:val="FF0000"/>
        </w:rPr>
        <w:t>中间体的</w:t>
      </w:r>
      <w:r w:rsidRPr="00CF15B6">
        <w:rPr>
          <w:color w:val="FF0000"/>
        </w:rPr>
        <w:t>合成复杂性分数</w:t>
      </w:r>
      <w:r w:rsidR="008A54A7">
        <w:rPr>
          <w:rFonts w:hint="eastAsia"/>
          <w:color w:val="FF0000"/>
        </w:rPr>
        <w:t>（</w:t>
      </w:r>
      <w:proofErr w:type="spellStart"/>
      <w:r w:rsidR="00CF15B6" w:rsidRPr="00CF15B6">
        <w:rPr>
          <w:color w:val="FF0000"/>
        </w:rPr>
        <w:t>SCScore</w:t>
      </w:r>
      <w:proofErr w:type="spellEnd"/>
      <w:r w:rsidR="008A54A7">
        <w:rPr>
          <w:rFonts w:hint="eastAsia"/>
          <w:color w:val="FF0000"/>
        </w:rPr>
        <w:t>）</w:t>
      </w:r>
      <w:r w:rsidRPr="00CF15B6">
        <w:rPr>
          <w:color w:val="FF0000"/>
        </w:rPr>
        <w:t>和</w:t>
      </w:r>
      <w:r w:rsidR="00CF15B6">
        <w:rPr>
          <w:rFonts w:hint="eastAsia"/>
          <w:color w:val="FF0000"/>
        </w:rPr>
        <w:t>半数致死量</w:t>
      </w:r>
      <w:r w:rsidR="008A54A7">
        <w:rPr>
          <w:rFonts w:hint="eastAsia"/>
          <w:color w:val="FF0000"/>
        </w:rPr>
        <w:t>（</w:t>
      </w:r>
      <w:r w:rsidRPr="00CF15B6">
        <w:rPr>
          <w:color w:val="FF0000"/>
        </w:rPr>
        <w:t>LD50</w:t>
      </w:r>
      <w:r w:rsidR="008A54A7">
        <w:rPr>
          <w:rFonts w:hint="eastAsia"/>
          <w:color w:val="FF0000"/>
        </w:rPr>
        <w:t>）</w:t>
      </w:r>
      <w:r w:rsidRPr="00682F8A">
        <w:t>。</w:t>
      </w:r>
    </w:p>
    <w:p w14:paraId="5C931A66" w14:textId="7D5934E5" w:rsidR="00173886" w:rsidRPr="00173886" w:rsidRDefault="00126F86" w:rsidP="00126F86">
      <w:pPr>
        <w:pStyle w:val="a7"/>
        <w:spacing w:after="156"/>
        <w:jc w:val="left"/>
        <w:rPr>
          <w:sz w:val="24"/>
          <w:szCs w:val="24"/>
        </w:rPr>
      </w:pPr>
      <w:r w:rsidRPr="00126F86">
        <w:rPr>
          <w:sz w:val="24"/>
          <w:szCs w:val="24"/>
        </w:rPr>
        <w:t>overall stoichiometric conversions</w:t>
      </w:r>
      <w:r>
        <w:rPr>
          <w:rFonts w:hint="eastAsia"/>
          <w:sz w:val="24"/>
          <w:szCs w:val="24"/>
        </w:rPr>
        <w:t>（</w:t>
      </w:r>
      <w:r w:rsidR="00682F8A" w:rsidRPr="00173886">
        <w:rPr>
          <w:sz w:val="24"/>
          <w:szCs w:val="24"/>
        </w:rPr>
        <w:t>总化学计量转换</w:t>
      </w:r>
      <w:r>
        <w:rPr>
          <w:rFonts w:hint="eastAsia"/>
          <w:sz w:val="24"/>
          <w:szCs w:val="24"/>
        </w:rPr>
        <w:t>）</w:t>
      </w:r>
    </w:p>
    <w:p w14:paraId="71CAB5D2" w14:textId="23481D86" w:rsidR="00173886" w:rsidRDefault="00690268">
      <w:pPr>
        <w:spacing w:after="156"/>
      </w:pPr>
      <w:r w:rsidRPr="00690268">
        <w:rPr>
          <w:rFonts w:hint="eastAsia"/>
        </w:rPr>
        <w:t>总化学计量转换</w:t>
      </w:r>
      <w:r>
        <w:rPr>
          <w:rFonts w:hint="eastAsia"/>
        </w:rPr>
        <w:t>（</w:t>
      </w:r>
      <w:r w:rsidR="00682F8A" w:rsidRPr="00682F8A">
        <w:t>例如</w:t>
      </w:r>
      <w:r w:rsidRPr="00690268">
        <w:rPr>
          <w:position w:val="-6"/>
        </w:rPr>
        <w:object w:dxaOrig="2100" w:dyaOrig="279" w14:anchorId="4F3939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35pt;height:14pt" o:ole="">
            <v:imagedata r:id="rId6" o:title=""/>
          </v:shape>
          <o:OLEObject Type="Embed" ProgID="Equation.DSMT4" ShapeID="_x0000_i1025" DrawAspect="Content" ObjectID="_1708633157" r:id="rId7"/>
        </w:object>
      </w:r>
      <w:r>
        <w:rPr>
          <w:rFonts w:hint="eastAsia"/>
        </w:rPr>
        <w:t>）</w:t>
      </w:r>
      <w:r w:rsidR="00682F8A" w:rsidRPr="00682F8A">
        <w:t>可以提取包括代谢物、离子和自由能在内的化学变化的全球元素资产负债表</w:t>
      </w:r>
      <w:r w:rsidR="00126F86">
        <w:rPr>
          <w:rFonts w:hint="eastAsia"/>
        </w:rPr>
        <w:t>(</w:t>
      </w:r>
      <w:r w:rsidR="00126F86" w:rsidRPr="00126F86">
        <w:t>the global elemental balance sheet</w:t>
      </w:r>
      <w:r w:rsidR="00126F86">
        <w:t>)</w:t>
      </w:r>
      <w:r w:rsidR="00E13371">
        <w:t>[26]</w:t>
      </w:r>
      <w:r w:rsidR="00682F8A" w:rsidRPr="00682F8A">
        <w:t>。对于预测的路径，</w:t>
      </w:r>
      <w:proofErr w:type="spellStart"/>
      <w:r w:rsidR="00682F8A" w:rsidRPr="00682F8A">
        <w:t>novoPathFinder</w:t>
      </w:r>
      <w:proofErr w:type="spellEnd"/>
      <w:r w:rsidR="00EF0054">
        <w:rPr>
          <w:rFonts w:hint="eastAsia"/>
        </w:rPr>
        <w:t>可自动</w:t>
      </w:r>
      <w:r w:rsidR="00682F8A" w:rsidRPr="00682F8A">
        <w:t>计算</w:t>
      </w:r>
      <w:r w:rsidR="00682F8A" w:rsidRPr="00EF0054">
        <w:t>总化学计量转换</w:t>
      </w:r>
      <w:r w:rsidR="00682F8A" w:rsidRPr="00682F8A">
        <w:t>。</w:t>
      </w:r>
    </w:p>
    <w:p w14:paraId="20A156AB" w14:textId="040CF4F1" w:rsidR="00EF0054" w:rsidRDefault="00EF0054" w:rsidP="00E67990">
      <w:pPr>
        <w:spacing w:afterLines="0" w:after="0"/>
        <w:rPr>
          <w:sz w:val="21"/>
          <w:szCs w:val="21"/>
        </w:rPr>
      </w:pPr>
      <w:r>
        <w:rPr>
          <w:sz w:val="21"/>
          <w:szCs w:val="21"/>
        </w:rPr>
        <w:t xml:space="preserve">[26] </w:t>
      </w:r>
      <w:r w:rsidRPr="00EF0054">
        <w:rPr>
          <w:sz w:val="21"/>
          <w:szCs w:val="21"/>
        </w:rPr>
        <w:t>Chowdhury,</w:t>
      </w:r>
      <w:r>
        <w:rPr>
          <w:sz w:val="21"/>
          <w:szCs w:val="21"/>
        </w:rPr>
        <w:t xml:space="preserve"> </w:t>
      </w:r>
      <w:r w:rsidRPr="00EF0054">
        <w:rPr>
          <w:sz w:val="21"/>
          <w:szCs w:val="21"/>
        </w:rPr>
        <w:t xml:space="preserve">A. and </w:t>
      </w:r>
      <w:proofErr w:type="spellStart"/>
      <w:r w:rsidRPr="00EF0054">
        <w:rPr>
          <w:sz w:val="21"/>
          <w:szCs w:val="21"/>
        </w:rPr>
        <w:t>Maranas</w:t>
      </w:r>
      <w:proofErr w:type="spellEnd"/>
      <w:r w:rsidRPr="00EF0054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EF0054">
        <w:rPr>
          <w:sz w:val="21"/>
          <w:szCs w:val="21"/>
        </w:rPr>
        <w:t>C.D. (2015) Designing overall</w:t>
      </w:r>
      <w:r>
        <w:rPr>
          <w:sz w:val="21"/>
          <w:szCs w:val="21"/>
        </w:rPr>
        <w:t xml:space="preserve"> </w:t>
      </w:r>
      <w:r w:rsidRPr="00EF0054">
        <w:rPr>
          <w:sz w:val="21"/>
          <w:szCs w:val="21"/>
        </w:rPr>
        <w:t>stoichiometric conversions and intervening metabolic reactions. Sci.</w:t>
      </w:r>
      <w:r>
        <w:rPr>
          <w:sz w:val="21"/>
          <w:szCs w:val="21"/>
        </w:rPr>
        <w:t xml:space="preserve"> </w:t>
      </w:r>
      <w:r w:rsidRPr="00EF0054">
        <w:rPr>
          <w:sz w:val="21"/>
          <w:szCs w:val="21"/>
        </w:rPr>
        <w:t>Rep., 5, 16009.</w:t>
      </w:r>
    </w:p>
    <w:p w14:paraId="001D63A6" w14:textId="5F6A1ABF" w:rsidR="00EF0054" w:rsidRPr="00EF0054" w:rsidRDefault="00EF0054" w:rsidP="00EF0054">
      <w:pPr>
        <w:pStyle w:val="a7"/>
        <w:spacing w:after="156"/>
        <w:jc w:val="left"/>
        <w:rPr>
          <w:sz w:val="24"/>
          <w:szCs w:val="24"/>
        </w:rPr>
      </w:pPr>
      <w:r w:rsidRPr="00EF0054">
        <w:rPr>
          <w:sz w:val="24"/>
          <w:szCs w:val="24"/>
        </w:rPr>
        <w:t>theoretical yield</w:t>
      </w:r>
      <w:r w:rsidRPr="00EF0054">
        <w:rPr>
          <w:rFonts w:hint="eastAsia"/>
          <w:sz w:val="24"/>
          <w:szCs w:val="24"/>
        </w:rPr>
        <w:t>（理论产量）</w:t>
      </w:r>
    </w:p>
    <w:p w14:paraId="5C066F2C" w14:textId="0F49865A" w:rsidR="00682F8A" w:rsidRDefault="00682F8A">
      <w:pPr>
        <w:spacing w:after="156"/>
      </w:pPr>
      <w:r w:rsidRPr="00682F8A">
        <w:t>通过整合基因组规模的代谢模型，可以使用公式</w:t>
      </w:r>
      <w:r w:rsidR="008A54A7">
        <w:rPr>
          <w:rFonts w:hint="eastAsia"/>
        </w:rPr>
        <w:t>（</w:t>
      </w:r>
      <w:r w:rsidRPr="00682F8A">
        <w:t>2-6</w:t>
      </w:r>
      <w:r w:rsidR="008A54A7">
        <w:rPr>
          <w:rFonts w:hint="eastAsia"/>
        </w:rPr>
        <w:t>）</w:t>
      </w:r>
      <w:r w:rsidRPr="00682F8A">
        <w:t>计算</w:t>
      </w:r>
      <w:r w:rsidR="008013FF">
        <w:rPr>
          <w:rFonts w:hint="eastAsia"/>
        </w:rPr>
        <w:t>特定</w:t>
      </w:r>
      <w:r w:rsidRPr="00682F8A">
        <w:t>生长条件下的</w:t>
      </w:r>
      <w:r w:rsidRPr="008A54A7">
        <w:t>最大理论产量</w:t>
      </w:r>
      <w:r w:rsidRPr="00682F8A">
        <w:t>，其中每个参数的含义已经在我们之前的</w:t>
      </w:r>
      <w:r w:rsidRPr="00682F8A">
        <w:rPr>
          <w:rFonts w:hint="eastAsia"/>
        </w:rPr>
        <w:t>研究</w:t>
      </w:r>
      <w:r w:rsidR="008A54A7">
        <w:t>[</w:t>
      </w:r>
      <w:r w:rsidRPr="00682F8A">
        <w:t>41</w:t>
      </w:r>
      <w:r w:rsidRPr="00682F8A">
        <w:t>，</w:t>
      </w:r>
      <w:r w:rsidRPr="00682F8A">
        <w:t>42</w:t>
      </w:r>
      <w:r w:rsidR="008A54A7">
        <w:t>]</w:t>
      </w:r>
      <w:r w:rsidRPr="00682F8A">
        <w:t>中得到描述。</w:t>
      </w:r>
    </w:p>
    <w:p w14:paraId="38F863DB" w14:textId="01656F9D" w:rsidR="008A54A7" w:rsidRDefault="008A54A7" w:rsidP="008A54A7">
      <w:pPr>
        <w:pStyle w:val="MTDisplayEquation"/>
      </w:pPr>
      <w:r>
        <w:tab/>
      </w:r>
      <w:r w:rsidR="00C745CD" w:rsidRPr="00C745CD">
        <w:rPr>
          <w:position w:val="-158"/>
        </w:rPr>
        <w:object w:dxaOrig="5300" w:dyaOrig="3140" w14:anchorId="482A2C9A">
          <v:shape id="_x0000_i1026" type="#_x0000_t75" style="width:265.35pt;height:157.35pt" o:ole="">
            <v:imagedata r:id="rId8" o:title=""/>
          </v:shape>
          <o:OLEObject Type="Embed" ProgID="Equation.DSMT4" ShapeID="_x0000_i1026" DrawAspect="Content" ObjectID="_1708633158" r:id="rId9"/>
        </w:object>
      </w:r>
    </w:p>
    <w:p w14:paraId="312602B0" w14:textId="3175AEDA" w:rsidR="00B56ECE" w:rsidRDefault="00C745CD" w:rsidP="00B56ECE">
      <w:pPr>
        <w:spacing w:after="156"/>
      </w:pPr>
      <w:r>
        <w:rPr>
          <w:rFonts w:hint="eastAsia"/>
        </w:rPr>
        <w:t>其中，</w:t>
      </w:r>
      <w:r w:rsidR="000C222F">
        <w:rPr>
          <w:rFonts w:hint="eastAsia"/>
        </w:rPr>
        <w:t>I</w:t>
      </w:r>
      <w:r w:rsidR="000C222F">
        <w:rPr>
          <w:rFonts w:hint="eastAsia"/>
        </w:rPr>
        <w:t>为代谢物的集合，</w:t>
      </w:r>
      <w:r w:rsidR="000C222F">
        <w:rPr>
          <w:rFonts w:hint="eastAsia"/>
        </w:rPr>
        <w:t>J</w:t>
      </w:r>
      <w:r w:rsidR="000C222F">
        <w:rPr>
          <w:rFonts w:hint="eastAsia"/>
        </w:rPr>
        <w:t>为反应的集合，</w:t>
      </w:r>
      <w:r w:rsidR="000C222F" w:rsidRPr="000C222F">
        <w:rPr>
          <w:position w:val="-14"/>
        </w:rPr>
        <w:object w:dxaOrig="260" w:dyaOrig="380" w14:anchorId="078D7BC4">
          <v:shape id="_x0000_i1027" type="#_x0000_t75" style="width:13.35pt;height:19.35pt" o:ole="">
            <v:imagedata r:id="rId10" o:title=""/>
          </v:shape>
          <o:OLEObject Type="Embed" ProgID="Equation.DSMT4" ShapeID="_x0000_i1027" DrawAspect="Content" ObjectID="_1708633159" r:id="rId11"/>
        </w:object>
      </w:r>
      <w:r w:rsidR="000C222F">
        <w:rPr>
          <w:rFonts w:hint="eastAsia"/>
        </w:rPr>
        <w:t>为第</w:t>
      </w:r>
      <w:r w:rsidR="000C222F">
        <w:rPr>
          <w:rFonts w:hint="eastAsia"/>
        </w:rPr>
        <w:t>j</w:t>
      </w:r>
      <w:proofErr w:type="gramStart"/>
      <w:r w:rsidR="000C222F">
        <w:rPr>
          <w:rFonts w:hint="eastAsia"/>
        </w:rPr>
        <w:t>个</w:t>
      </w:r>
      <w:proofErr w:type="gramEnd"/>
      <w:r w:rsidR="000C222F">
        <w:rPr>
          <w:rFonts w:hint="eastAsia"/>
        </w:rPr>
        <w:t>反应的碳通量</w:t>
      </w:r>
      <w:r w:rsidR="00B56ECE">
        <w:rPr>
          <w:rFonts w:hint="eastAsia"/>
        </w:rPr>
        <w:t>，</w:t>
      </w:r>
      <w:r w:rsidR="00B56ECE" w:rsidRPr="00B56ECE">
        <w:rPr>
          <w:position w:val="-10"/>
        </w:rPr>
        <w:object w:dxaOrig="200" w:dyaOrig="260" w14:anchorId="0DF81D31">
          <v:shape id="_x0000_i1028" type="#_x0000_t75" style="width:10pt;height:13.35pt" o:ole="">
            <v:imagedata r:id="rId12" o:title=""/>
          </v:shape>
          <o:OLEObject Type="Embed" ProgID="Equation.DSMT4" ShapeID="_x0000_i1028" DrawAspect="Content" ObjectID="_1708633160" r:id="rId13"/>
        </w:object>
      </w:r>
      <w:r w:rsidR="00B56ECE">
        <w:rPr>
          <w:rFonts w:hint="eastAsia"/>
        </w:rPr>
        <w:t>表示</w:t>
      </w:r>
      <w:r w:rsidR="00B56ECE" w:rsidRPr="00B56ECE">
        <w:rPr>
          <w:rFonts w:hint="eastAsia"/>
        </w:rPr>
        <w:t>突变体类型的最小增长速度占</w:t>
      </w:r>
      <w:r w:rsidR="00B56ECE" w:rsidRPr="00B56ECE">
        <w:rPr>
          <w:rFonts w:hint="eastAsia"/>
        </w:rPr>
        <w:t>WT</w:t>
      </w:r>
      <w:r w:rsidR="00B56ECE" w:rsidRPr="00B56ECE">
        <w:rPr>
          <w:rFonts w:hint="eastAsia"/>
        </w:rPr>
        <w:t>类型的最大增长速度的百分比</w:t>
      </w:r>
      <w:r w:rsidR="006D5DF8">
        <w:rPr>
          <w:rFonts w:hint="eastAsia"/>
        </w:rPr>
        <w:t>。</w:t>
      </w:r>
    </w:p>
    <w:p w14:paraId="4D01BB6B" w14:textId="4E9530C2" w:rsidR="000C222F" w:rsidRPr="000C222F" w:rsidRDefault="000C222F" w:rsidP="000C222F">
      <w:pPr>
        <w:spacing w:afterLines="0" w:after="0"/>
        <w:rPr>
          <w:sz w:val="21"/>
          <w:szCs w:val="21"/>
        </w:rPr>
      </w:pPr>
      <w:r w:rsidRPr="000C222F">
        <w:rPr>
          <w:rFonts w:hint="eastAsia"/>
          <w:sz w:val="21"/>
          <w:szCs w:val="21"/>
        </w:rPr>
        <w:t>[</w:t>
      </w:r>
      <w:r w:rsidRPr="000C222F">
        <w:rPr>
          <w:sz w:val="21"/>
          <w:szCs w:val="21"/>
        </w:rPr>
        <w:t xml:space="preserve">41] </w:t>
      </w:r>
      <w:proofErr w:type="spellStart"/>
      <w:proofErr w:type="gramStart"/>
      <w:r w:rsidRPr="000C222F">
        <w:rPr>
          <w:sz w:val="21"/>
          <w:szCs w:val="21"/>
        </w:rPr>
        <w:t>Ding,S</w:t>
      </w:r>
      <w:proofErr w:type="spellEnd"/>
      <w:r w:rsidRPr="000C222F">
        <w:rPr>
          <w:sz w:val="21"/>
          <w:szCs w:val="21"/>
        </w:rPr>
        <w:t>.</w:t>
      </w:r>
      <w:proofErr w:type="gramEnd"/>
      <w:r w:rsidRPr="000C222F">
        <w:rPr>
          <w:sz w:val="21"/>
          <w:szCs w:val="21"/>
        </w:rPr>
        <w:t xml:space="preserve">, </w:t>
      </w:r>
      <w:proofErr w:type="spellStart"/>
      <w:r w:rsidRPr="000C222F">
        <w:rPr>
          <w:sz w:val="21"/>
          <w:szCs w:val="21"/>
        </w:rPr>
        <w:t>Cai,P</w:t>
      </w:r>
      <w:proofErr w:type="spellEnd"/>
      <w:r w:rsidRPr="000C222F">
        <w:rPr>
          <w:sz w:val="21"/>
          <w:szCs w:val="21"/>
        </w:rPr>
        <w:t xml:space="preserve">., </w:t>
      </w:r>
      <w:proofErr w:type="spellStart"/>
      <w:r w:rsidRPr="000C222F">
        <w:rPr>
          <w:sz w:val="21"/>
          <w:szCs w:val="21"/>
        </w:rPr>
        <w:t>Yuan,L</w:t>
      </w:r>
      <w:proofErr w:type="spellEnd"/>
      <w:r w:rsidRPr="000C222F">
        <w:rPr>
          <w:sz w:val="21"/>
          <w:szCs w:val="21"/>
        </w:rPr>
        <w:t xml:space="preserve">., </w:t>
      </w:r>
      <w:proofErr w:type="spellStart"/>
      <w:r w:rsidRPr="000C222F">
        <w:rPr>
          <w:sz w:val="21"/>
          <w:szCs w:val="21"/>
        </w:rPr>
        <w:t>Tian,Y</w:t>
      </w:r>
      <w:proofErr w:type="spellEnd"/>
      <w:r w:rsidRPr="000C222F">
        <w:rPr>
          <w:sz w:val="21"/>
          <w:szCs w:val="21"/>
        </w:rPr>
        <w:t xml:space="preserve">. and </w:t>
      </w:r>
      <w:proofErr w:type="spellStart"/>
      <w:r w:rsidRPr="000C222F">
        <w:rPr>
          <w:sz w:val="21"/>
          <w:szCs w:val="21"/>
        </w:rPr>
        <w:t>Hu,Q</w:t>
      </w:r>
      <w:proofErr w:type="spellEnd"/>
      <w:r w:rsidRPr="000C222F">
        <w:rPr>
          <w:sz w:val="21"/>
          <w:szCs w:val="21"/>
        </w:rPr>
        <w:t>.-N. (2019) CF-</w:t>
      </w:r>
      <w:proofErr w:type="spellStart"/>
      <w:r w:rsidRPr="000C222F">
        <w:rPr>
          <w:sz w:val="21"/>
          <w:szCs w:val="21"/>
        </w:rPr>
        <w:t>targeter</w:t>
      </w:r>
      <w:proofErr w:type="spellEnd"/>
      <w:r w:rsidRPr="000C222F">
        <w:rPr>
          <w:sz w:val="21"/>
          <w:szCs w:val="21"/>
        </w:rPr>
        <w:t>: a</w:t>
      </w:r>
      <w:r w:rsidRPr="000C222F">
        <w:rPr>
          <w:rFonts w:hint="eastAsia"/>
          <w:sz w:val="21"/>
          <w:szCs w:val="21"/>
        </w:rPr>
        <w:t xml:space="preserve"> </w:t>
      </w:r>
      <w:r w:rsidRPr="000C222F">
        <w:rPr>
          <w:sz w:val="21"/>
          <w:szCs w:val="21"/>
        </w:rPr>
        <w:t>rational biological cell factory targeting platform for biosynthetic</w:t>
      </w:r>
      <w:r w:rsidRPr="000C222F">
        <w:rPr>
          <w:rFonts w:hint="eastAsia"/>
          <w:sz w:val="21"/>
          <w:szCs w:val="21"/>
        </w:rPr>
        <w:t xml:space="preserve"> </w:t>
      </w:r>
      <w:r w:rsidRPr="000C222F">
        <w:rPr>
          <w:sz w:val="21"/>
          <w:szCs w:val="21"/>
        </w:rPr>
        <w:t xml:space="preserve">target chemicals. ACS </w:t>
      </w:r>
      <w:proofErr w:type="spellStart"/>
      <w:r w:rsidRPr="000C222F">
        <w:rPr>
          <w:sz w:val="21"/>
          <w:szCs w:val="21"/>
        </w:rPr>
        <w:t>Syntth</w:t>
      </w:r>
      <w:proofErr w:type="spellEnd"/>
      <w:r w:rsidRPr="000C222F">
        <w:rPr>
          <w:sz w:val="21"/>
          <w:szCs w:val="21"/>
        </w:rPr>
        <w:t>. Biol., 8, 2280–2286.</w:t>
      </w:r>
    </w:p>
    <w:p w14:paraId="4D2C8F91" w14:textId="3B35DEF4" w:rsidR="000C222F" w:rsidRPr="000C222F" w:rsidRDefault="000C222F" w:rsidP="000C222F">
      <w:pPr>
        <w:spacing w:afterLines="0" w:after="0"/>
        <w:rPr>
          <w:sz w:val="21"/>
          <w:szCs w:val="21"/>
        </w:rPr>
      </w:pPr>
      <w:r w:rsidRPr="000C222F">
        <w:rPr>
          <w:rFonts w:hint="eastAsia"/>
          <w:sz w:val="21"/>
          <w:szCs w:val="21"/>
        </w:rPr>
        <w:t>[</w:t>
      </w:r>
      <w:r w:rsidRPr="000C222F">
        <w:rPr>
          <w:sz w:val="21"/>
          <w:szCs w:val="21"/>
        </w:rPr>
        <w:t xml:space="preserve">42] </w:t>
      </w:r>
      <w:proofErr w:type="spellStart"/>
      <w:proofErr w:type="gramStart"/>
      <w:r w:rsidRPr="000C222F">
        <w:rPr>
          <w:sz w:val="21"/>
          <w:szCs w:val="21"/>
        </w:rPr>
        <w:t>Ding,S</w:t>
      </w:r>
      <w:proofErr w:type="spellEnd"/>
      <w:r w:rsidRPr="000C222F">
        <w:rPr>
          <w:sz w:val="21"/>
          <w:szCs w:val="21"/>
        </w:rPr>
        <w:t>.</w:t>
      </w:r>
      <w:proofErr w:type="gramEnd"/>
      <w:r w:rsidRPr="000C222F">
        <w:rPr>
          <w:sz w:val="21"/>
          <w:szCs w:val="21"/>
        </w:rPr>
        <w:t xml:space="preserve">, </w:t>
      </w:r>
      <w:proofErr w:type="spellStart"/>
      <w:r w:rsidRPr="000C222F">
        <w:rPr>
          <w:sz w:val="21"/>
          <w:szCs w:val="21"/>
        </w:rPr>
        <w:t>Liao,X</w:t>
      </w:r>
      <w:proofErr w:type="spellEnd"/>
      <w:r w:rsidRPr="000C222F">
        <w:rPr>
          <w:sz w:val="21"/>
          <w:szCs w:val="21"/>
        </w:rPr>
        <w:t xml:space="preserve">., </w:t>
      </w:r>
      <w:proofErr w:type="spellStart"/>
      <w:r w:rsidRPr="000C222F">
        <w:rPr>
          <w:sz w:val="21"/>
          <w:szCs w:val="21"/>
        </w:rPr>
        <w:t>Tu,W</w:t>
      </w:r>
      <w:proofErr w:type="spellEnd"/>
      <w:r w:rsidRPr="000C222F">
        <w:rPr>
          <w:sz w:val="21"/>
          <w:szCs w:val="21"/>
        </w:rPr>
        <w:t xml:space="preserve">., </w:t>
      </w:r>
      <w:proofErr w:type="spellStart"/>
      <w:r w:rsidRPr="000C222F">
        <w:rPr>
          <w:sz w:val="21"/>
          <w:szCs w:val="21"/>
        </w:rPr>
        <w:t>Wu,L</w:t>
      </w:r>
      <w:proofErr w:type="spellEnd"/>
      <w:r w:rsidRPr="000C222F">
        <w:rPr>
          <w:sz w:val="21"/>
          <w:szCs w:val="21"/>
        </w:rPr>
        <w:t xml:space="preserve">., </w:t>
      </w:r>
      <w:proofErr w:type="spellStart"/>
      <w:r w:rsidRPr="000C222F">
        <w:rPr>
          <w:sz w:val="21"/>
          <w:szCs w:val="21"/>
        </w:rPr>
        <w:t>Tian,Y</w:t>
      </w:r>
      <w:proofErr w:type="spellEnd"/>
      <w:r w:rsidRPr="000C222F">
        <w:rPr>
          <w:sz w:val="21"/>
          <w:szCs w:val="21"/>
        </w:rPr>
        <w:t xml:space="preserve">., </w:t>
      </w:r>
      <w:proofErr w:type="spellStart"/>
      <w:r w:rsidRPr="000C222F">
        <w:rPr>
          <w:sz w:val="21"/>
          <w:szCs w:val="21"/>
        </w:rPr>
        <w:t>Sun,Q</w:t>
      </w:r>
      <w:proofErr w:type="spellEnd"/>
      <w:r w:rsidRPr="000C222F">
        <w:rPr>
          <w:sz w:val="21"/>
          <w:szCs w:val="21"/>
        </w:rPr>
        <w:t xml:space="preserve">., </w:t>
      </w:r>
      <w:proofErr w:type="spellStart"/>
      <w:r w:rsidRPr="000C222F">
        <w:rPr>
          <w:sz w:val="21"/>
          <w:szCs w:val="21"/>
        </w:rPr>
        <w:t>Chen,J</w:t>
      </w:r>
      <w:proofErr w:type="spellEnd"/>
      <w:r w:rsidRPr="000C222F">
        <w:rPr>
          <w:sz w:val="21"/>
          <w:szCs w:val="21"/>
        </w:rPr>
        <w:t>. and</w:t>
      </w:r>
      <w:r w:rsidRPr="000C222F">
        <w:rPr>
          <w:rFonts w:hint="eastAsia"/>
          <w:sz w:val="21"/>
          <w:szCs w:val="21"/>
        </w:rPr>
        <w:t xml:space="preserve"> </w:t>
      </w:r>
      <w:proofErr w:type="spellStart"/>
      <w:r w:rsidRPr="000C222F">
        <w:rPr>
          <w:sz w:val="21"/>
          <w:szCs w:val="21"/>
        </w:rPr>
        <w:t>Hu,Q</w:t>
      </w:r>
      <w:proofErr w:type="spellEnd"/>
      <w:r w:rsidRPr="000C222F">
        <w:rPr>
          <w:sz w:val="21"/>
          <w:szCs w:val="21"/>
        </w:rPr>
        <w:t xml:space="preserve">.-N. (2017) </w:t>
      </w:r>
      <w:proofErr w:type="spellStart"/>
      <w:r w:rsidRPr="000C222F">
        <w:rPr>
          <w:sz w:val="21"/>
          <w:szCs w:val="21"/>
        </w:rPr>
        <w:t>EcoSynther</w:t>
      </w:r>
      <w:proofErr w:type="spellEnd"/>
      <w:r w:rsidRPr="000C222F">
        <w:rPr>
          <w:sz w:val="21"/>
          <w:szCs w:val="21"/>
        </w:rPr>
        <w:t>: a customized platform to explore the</w:t>
      </w:r>
      <w:r w:rsidRPr="000C222F">
        <w:rPr>
          <w:rFonts w:hint="eastAsia"/>
          <w:sz w:val="21"/>
          <w:szCs w:val="21"/>
        </w:rPr>
        <w:t xml:space="preserve"> </w:t>
      </w:r>
      <w:r w:rsidRPr="000C222F">
        <w:rPr>
          <w:sz w:val="21"/>
          <w:szCs w:val="21"/>
        </w:rPr>
        <w:t>biosynthetic potential in E. coli. ACS Chem. Biol., 12, 2823–</w:t>
      </w:r>
      <w:r w:rsidRPr="000C222F">
        <w:rPr>
          <w:sz w:val="21"/>
          <w:szCs w:val="21"/>
        </w:rPr>
        <w:lastRenderedPageBreak/>
        <w:t>2829.</w:t>
      </w:r>
    </w:p>
    <w:p w14:paraId="3E9E1A1D" w14:textId="5E6B63C7" w:rsidR="000C222F" w:rsidRPr="000C222F" w:rsidRDefault="000C222F" w:rsidP="000C222F">
      <w:pPr>
        <w:pStyle w:val="a7"/>
        <w:spacing w:after="156"/>
        <w:jc w:val="left"/>
        <w:rPr>
          <w:sz w:val="24"/>
          <w:szCs w:val="24"/>
        </w:rPr>
      </w:pPr>
      <w:r w:rsidRPr="000C222F">
        <w:rPr>
          <w:sz w:val="24"/>
          <w:szCs w:val="24"/>
        </w:rPr>
        <w:t>thermodynamic feasibility analysis</w:t>
      </w:r>
      <w:r>
        <w:rPr>
          <w:rFonts w:hint="eastAsia"/>
          <w:sz w:val="24"/>
          <w:szCs w:val="24"/>
        </w:rPr>
        <w:t>（热力学可行性分析）</w:t>
      </w:r>
    </w:p>
    <w:p w14:paraId="3C0E01D8" w14:textId="6CB4256C" w:rsidR="00540A70" w:rsidRDefault="00682F8A">
      <w:pPr>
        <w:spacing w:after="156"/>
      </w:pPr>
      <w:r w:rsidRPr="00682F8A">
        <w:t>反应方向的</w:t>
      </w:r>
      <w:r w:rsidRPr="009E05D5">
        <w:t>热力学可行性</w:t>
      </w:r>
      <w:r w:rsidRPr="00682F8A">
        <w:t>受细胞条件的影响很大。通过使用</w:t>
      </w:r>
      <w:proofErr w:type="spellStart"/>
      <w:r w:rsidR="009E05D5" w:rsidRPr="009E05D5">
        <w:t>eQuilibrator</w:t>
      </w:r>
      <w:proofErr w:type="spellEnd"/>
      <w:r w:rsidR="009E05D5">
        <w:rPr>
          <w:rFonts w:hint="eastAsia"/>
        </w:rPr>
        <w:t>[</w:t>
      </w:r>
      <w:r w:rsidRPr="00682F8A">
        <w:t>27</w:t>
      </w:r>
      <w:r w:rsidR="009E05D5">
        <w:t>]</w:t>
      </w:r>
      <w:r w:rsidRPr="00682F8A">
        <w:t>，可以在</w:t>
      </w:r>
      <w:r w:rsidR="009E05D5">
        <w:rPr>
          <w:rFonts w:hint="eastAsia"/>
        </w:rPr>
        <w:t>特定</w:t>
      </w:r>
      <w:r w:rsidRPr="00682F8A">
        <w:t>的物理条件下计算预测路径中每个反应的标准吉布斯能量，包括</w:t>
      </w:r>
      <w:r w:rsidRPr="00682F8A">
        <w:t>pH</w:t>
      </w:r>
      <w:r w:rsidRPr="00682F8A">
        <w:t>、离子强度和温度。对于代谢物浓度，所有反应物</w:t>
      </w:r>
      <w:r w:rsidR="00540A70">
        <w:rPr>
          <w:rFonts w:hint="eastAsia"/>
        </w:rPr>
        <w:t>均以</w:t>
      </w:r>
      <w:r w:rsidRPr="00682F8A">
        <w:t>1 m</w:t>
      </w:r>
      <w:r w:rsidR="00540A70">
        <w:t>M</w:t>
      </w:r>
      <w:r w:rsidR="00540A70">
        <w:rPr>
          <w:rFonts w:hint="eastAsia"/>
        </w:rPr>
        <w:t>的浓度存在</w:t>
      </w:r>
      <w:r w:rsidRPr="00682F8A">
        <w:t>。</w:t>
      </w:r>
    </w:p>
    <w:p w14:paraId="560C88AF" w14:textId="7641DF83" w:rsidR="00540A70" w:rsidRDefault="00540A70" w:rsidP="00E67990">
      <w:pPr>
        <w:spacing w:afterLines="0" w:after="0"/>
        <w:rPr>
          <w:sz w:val="21"/>
          <w:szCs w:val="21"/>
        </w:rPr>
      </w:pPr>
      <w:r w:rsidRPr="00540A70">
        <w:rPr>
          <w:rFonts w:hint="eastAsia"/>
          <w:sz w:val="21"/>
          <w:szCs w:val="21"/>
        </w:rPr>
        <w:t>[</w:t>
      </w:r>
      <w:r w:rsidRPr="00540A70">
        <w:rPr>
          <w:sz w:val="21"/>
          <w:szCs w:val="21"/>
        </w:rPr>
        <w:t xml:space="preserve">27] </w:t>
      </w:r>
      <w:proofErr w:type="spellStart"/>
      <w:proofErr w:type="gramStart"/>
      <w:r w:rsidRPr="00540A70">
        <w:rPr>
          <w:sz w:val="21"/>
          <w:szCs w:val="21"/>
        </w:rPr>
        <w:t>Flamholz,A</w:t>
      </w:r>
      <w:proofErr w:type="spellEnd"/>
      <w:r w:rsidRPr="00540A70">
        <w:rPr>
          <w:sz w:val="21"/>
          <w:szCs w:val="21"/>
        </w:rPr>
        <w:t>.</w:t>
      </w:r>
      <w:proofErr w:type="gramEnd"/>
      <w:r w:rsidRPr="00540A70">
        <w:rPr>
          <w:sz w:val="21"/>
          <w:szCs w:val="21"/>
        </w:rPr>
        <w:t xml:space="preserve">, </w:t>
      </w:r>
      <w:proofErr w:type="spellStart"/>
      <w:r w:rsidRPr="00540A70">
        <w:rPr>
          <w:sz w:val="21"/>
          <w:szCs w:val="21"/>
        </w:rPr>
        <w:t>Noor,E</w:t>
      </w:r>
      <w:proofErr w:type="spellEnd"/>
      <w:r w:rsidRPr="00540A70">
        <w:rPr>
          <w:sz w:val="21"/>
          <w:szCs w:val="21"/>
        </w:rPr>
        <w:t>., Bar-</w:t>
      </w:r>
      <w:proofErr w:type="spellStart"/>
      <w:r w:rsidRPr="00540A70">
        <w:rPr>
          <w:sz w:val="21"/>
          <w:szCs w:val="21"/>
        </w:rPr>
        <w:t>Even,A</w:t>
      </w:r>
      <w:proofErr w:type="spellEnd"/>
      <w:r w:rsidRPr="00540A70">
        <w:rPr>
          <w:sz w:val="21"/>
          <w:szCs w:val="21"/>
        </w:rPr>
        <w:t xml:space="preserve">. and </w:t>
      </w:r>
      <w:proofErr w:type="spellStart"/>
      <w:r w:rsidRPr="00540A70">
        <w:rPr>
          <w:sz w:val="21"/>
          <w:szCs w:val="21"/>
        </w:rPr>
        <w:t>Milo,R</w:t>
      </w:r>
      <w:proofErr w:type="spellEnd"/>
      <w:r w:rsidRPr="00540A70">
        <w:rPr>
          <w:sz w:val="21"/>
          <w:szCs w:val="21"/>
        </w:rPr>
        <w:t>. (2011)</w:t>
      </w:r>
      <w:r>
        <w:rPr>
          <w:rFonts w:hint="eastAsia"/>
          <w:sz w:val="21"/>
          <w:szCs w:val="21"/>
        </w:rPr>
        <w:t xml:space="preserve"> </w:t>
      </w:r>
      <w:proofErr w:type="spellStart"/>
      <w:r w:rsidRPr="00540A70">
        <w:rPr>
          <w:sz w:val="21"/>
          <w:szCs w:val="21"/>
        </w:rPr>
        <w:t>eQuilibrator</w:t>
      </w:r>
      <w:proofErr w:type="spellEnd"/>
      <w:r w:rsidRPr="00540A70">
        <w:rPr>
          <w:sz w:val="21"/>
          <w:szCs w:val="21"/>
        </w:rPr>
        <w:t>––the biochemical thermodynamics calculator. Nucleic</w:t>
      </w:r>
      <w:r>
        <w:rPr>
          <w:rFonts w:hint="eastAsia"/>
          <w:sz w:val="21"/>
          <w:szCs w:val="21"/>
        </w:rPr>
        <w:t xml:space="preserve"> </w:t>
      </w:r>
      <w:r w:rsidRPr="00540A70">
        <w:rPr>
          <w:sz w:val="21"/>
          <w:szCs w:val="21"/>
        </w:rPr>
        <w:t>Acids Res., 40, 770–775.</w:t>
      </w:r>
    </w:p>
    <w:p w14:paraId="5828A40B" w14:textId="23C9043D" w:rsidR="00540A70" w:rsidRPr="00540A70" w:rsidRDefault="00540A70" w:rsidP="00540A70">
      <w:pPr>
        <w:pStyle w:val="a7"/>
        <w:spacing w:after="156"/>
        <w:jc w:val="left"/>
        <w:rPr>
          <w:sz w:val="24"/>
          <w:szCs w:val="24"/>
        </w:rPr>
      </w:pPr>
      <w:r w:rsidRPr="00540A70">
        <w:rPr>
          <w:sz w:val="24"/>
          <w:szCs w:val="24"/>
        </w:rPr>
        <w:t>enzyme promiscuity penalty score</w:t>
      </w:r>
      <w:r w:rsidR="00B02A1D">
        <w:rPr>
          <w:rFonts w:hint="eastAsia"/>
          <w:sz w:val="24"/>
          <w:szCs w:val="24"/>
        </w:rPr>
        <w:t>（</w:t>
      </w:r>
      <w:r w:rsidR="00B02A1D" w:rsidRPr="00B02A1D">
        <w:rPr>
          <w:rFonts w:hint="eastAsia"/>
          <w:sz w:val="24"/>
          <w:szCs w:val="24"/>
        </w:rPr>
        <w:t>酶混杂惩罚分数</w:t>
      </w:r>
      <w:r w:rsidR="00B02A1D">
        <w:rPr>
          <w:rFonts w:hint="eastAsia"/>
          <w:sz w:val="24"/>
          <w:szCs w:val="24"/>
        </w:rPr>
        <w:t>）</w:t>
      </w:r>
    </w:p>
    <w:p w14:paraId="29671A6D" w14:textId="77777777" w:rsidR="00B02A1D" w:rsidRDefault="00682F8A">
      <w:pPr>
        <w:spacing w:after="156"/>
      </w:pPr>
      <w:r w:rsidRPr="00682F8A">
        <w:t>对于已知反应，</w:t>
      </w:r>
      <w:proofErr w:type="spellStart"/>
      <w:r w:rsidRPr="00682F8A">
        <w:t>novoPathFinder</w:t>
      </w:r>
      <w:proofErr w:type="spellEnd"/>
      <w:r w:rsidRPr="00682F8A">
        <w:t>设置默认的</w:t>
      </w:r>
      <w:r w:rsidRPr="00B02A1D">
        <w:t>酶混杂惩罚分数</w:t>
      </w:r>
      <w:r w:rsidR="00B02A1D">
        <w:rPr>
          <w:rFonts w:hint="eastAsia"/>
        </w:rPr>
        <w:t>为</w:t>
      </w:r>
      <w:r w:rsidRPr="00682F8A">
        <w:t>0</w:t>
      </w:r>
      <w:r w:rsidRPr="00682F8A">
        <w:t>，而对于</w:t>
      </w:r>
      <w:r w:rsidR="00B02A1D">
        <w:rPr>
          <w:rFonts w:hint="eastAsia"/>
        </w:rPr>
        <w:t>推定</w:t>
      </w:r>
      <w:r w:rsidRPr="00682F8A">
        <w:t>的反应，基于来自</w:t>
      </w:r>
      <w:proofErr w:type="spellStart"/>
      <w:r w:rsidRPr="00682F8A">
        <w:t>UniProt</w:t>
      </w:r>
      <w:proofErr w:type="spellEnd"/>
      <w:r w:rsidR="00B02A1D">
        <w:t>[</w:t>
      </w:r>
      <w:r w:rsidRPr="00682F8A">
        <w:t>32</w:t>
      </w:r>
      <w:r w:rsidR="00B02A1D">
        <w:t>]</w:t>
      </w:r>
      <w:r w:rsidRPr="00682F8A">
        <w:t>的酶序列，使用来自</w:t>
      </w:r>
      <w:r w:rsidRPr="00682F8A">
        <w:t>RetroPath2.0</w:t>
      </w:r>
      <w:r w:rsidR="00B02A1D">
        <w:t>[</w:t>
      </w:r>
      <w:r w:rsidRPr="00682F8A">
        <w:t>9</w:t>
      </w:r>
      <w:r w:rsidR="00B02A1D">
        <w:t>]</w:t>
      </w:r>
      <w:r w:rsidRPr="00682F8A">
        <w:t>的方法计算酶混杂惩罚分数。</w:t>
      </w:r>
    </w:p>
    <w:p w14:paraId="4DA3B0B5" w14:textId="7FF159B4" w:rsidR="00B02A1D" w:rsidRPr="00E67990" w:rsidRDefault="00B02A1D" w:rsidP="00E67990">
      <w:pPr>
        <w:spacing w:afterLines="0" w:after="0"/>
        <w:rPr>
          <w:sz w:val="21"/>
          <w:szCs w:val="21"/>
        </w:rPr>
      </w:pPr>
      <w:r w:rsidRPr="00E67990">
        <w:rPr>
          <w:rFonts w:hint="eastAsia"/>
          <w:sz w:val="21"/>
          <w:szCs w:val="21"/>
        </w:rPr>
        <w:t>[</w:t>
      </w:r>
      <w:r w:rsidRPr="00E67990">
        <w:rPr>
          <w:sz w:val="21"/>
          <w:szCs w:val="21"/>
        </w:rPr>
        <w:t xml:space="preserve">9] </w:t>
      </w:r>
      <w:proofErr w:type="spellStart"/>
      <w:proofErr w:type="gramStart"/>
      <w:r w:rsidRPr="00E67990">
        <w:rPr>
          <w:sz w:val="21"/>
          <w:szCs w:val="21"/>
        </w:rPr>
        <w:t>Delépinea,B</w:t>
      </w:r>
      <w:proofErr w:type="spellEnd"/>
      <w:r w:rsidRPr="00E67990">
        <w:rPr>
          <w:sz w:val="21"/>
          <w:szCs w:val="21"/>
        </w:rPr>
        <w:t>.</w:t>
      </w:r>
      <w:proofErr w:type="gramEnd"/>
      <w:r w:rsidRPr="00E67990">
        <w:rPr>
          <w:sz w:val="21"/>
          <w:szCs w:val="21"/>
        </w:rPr>
        <w:t xml:space="preserve">, </w:t>
      </w:r>
      <w:proofErr w:type="spellStart"/>
      <w:r w:rsidRPr="00E67990">
        <w:rPr>
          <w:sz w:val="21"/>
          <w:szCs w:val="21"/>
        </w:rPr>
        <w:t>Duigouc,T</w:t>
      </w:r>
      <w:proofErr w:type="spellEnd"/>
      <w:r w:rsidRPr="00E67990">
        <w:rPr>
          <w:sz w:val="21"/>
          <w:szCs w:val="21"/>
        </w:rPr>
        <w:t xml:space="preserve">., </w:t>
      </w:r>
      <w:proofErr w:type="spellStart"/>
      <w:r w:rsidRPr="00E67990">
        <w:rPr>
          <w:sz w:val="21"/>
          <w:szCs w:val="21"/>
        </w:rPr>
        <w:t>Carbonelld,P</w:t>
      </w:r>
      <w:proofErr w:type="spellEnd"/>
      <w:r w:rsidRPr="00E67990">
        <w:rPr>
          <w:sz w:val="21"/>
          <w:szCs w:val="21"/>
        </w:rPr>
        <w:t xml:space="preserve">. and </w:t>
      </w:r>
      <w:proofErr w:type="spellStart"/>
      <w:r w:rsidRPr="00E67990">
        <w:rPr>
          <w:sz w:val="21"/>
          <w:szCs w:val="21"/>
        </w:rPr>
        <w:t>Faulon,J</w:t>
      </w:r>
      <w:proofErr w:type="spellEnd"/>
      <w:r w:rsidRPr="00E67990">
        <w:rPr>
          <w:sz w:val="21"/>
          <w:szCs w:val="21"/>
        </w:rPr>
        <w:t>.-L. (2018)</w:t>
      </w:r>
      <w:r w:rsidR="00E67990" w:rsidRPr="00E67990">
        <w:rPr>
          <w:rFonts w:hint="eastAsia"/>
          <w:sz w:val="21"/>
          <w:szCs w:val="21"/>
        </w:rPr>
        <w:t xml:space="preserve"> </w:t>
      </w:r>
      <w:r w:rsidRPr="00E67990">
        <w:rPr>
          <w:sz w:val="21"/>
          <w:szCs w:val="21"/>
        </w:rPr>
        <w:t>RetroPath2.0: A retrosynthesis workflow for metabolic engineers.</w:t>
      </w:r>
      <w:r w:rsidR="00E67990" w:rsidRPr="00E67990">
        <w:rPr>
          <w:rFonts w:hint="eastAsia"/>
          <w:sz w:val="21"/>
          <w:szCs w:val="21"/>
        </w:rPr>
        <w:t xml:space="preserve"> </w:t>
      </w:r>
      <w:proofErr w:type="spellStart"/>
      <w:r w:rsidRPr="00E67990">
        <w:rPr>
          <w:sz w:val="21"/>
          <w:szCs w:val="21"/>
        </w:rPr>
        <w:t>Metab</w:t>
      </w:r>
      <w:proofErr w:type="spellEnd"/>
      <w:r w:rsidRPr="00E67990">
        <w:rPr>
          <w:sz w:val="21"/>
          <w:szCs w:val="21"/>
        </w:rPr>
        <w:t>. Eng., 45, 158–170.</w:t>
      </w:r>
    </w:p>
    <w:p w14:paraId="2670BECB" w14:textId="36E98AD3" w:rsidR="00B02A1D" w:rsidRDefault="00B02A1D" w:rsidP="00E67990">
      <w:pPr>
        <w:spacing w:afterLines="0" w:after="0"/>
        <w:rPr>
          <w:sz w:val="21"/>
          <w:szCs w:val="21"/>
        </w:rPr>
      </w:pPr>
      <w:r w:rsidRPr="00E67990">
        <w:rPr>
          <w:rFonts w:hint="eastAsia"/>
          <w:sz w:val="21"/>
          <w:szCs w:val="21"/>
        </w:rPr>
        <w:t>[</w:t>
      </w:r>
      <w:r w:rsidRPr="00E67990">
        <w:rPr>
          <w:sz w:val="21"/>
          <w:szCs w:val="21"/>
        </w:rPr>
        <w:t xml:space="preserve">32] </w:t>
      </w:r>
      <w:proofErr w:type="spellStart"/>
      <w:proofErr w:type="gramStart"/>
      <w:r w:rsidRPr="00E67990">
        <w:rPr>
          <w:sz w:val="21"/>
          <w:szCs w:val="21"/>
        </w:rPr>
        <w:t>Delépinea,B</w:t>
      </w:r>
      <w:proofErr w:type="spellEnd"/>
      <w:r w:rsidRPr="00E67990">
        <w:rPr>
          <w:sz w:val="21"/>
          <w:szCs w:val="21"/>
        </w:rPr>
        <w:t>.</w:t>
      </w:r>
      <w:proofErr w:type="gramEnd"/>
      <w:r w:rsidRPr="00E67990">
        <w:rPr>
          <w:sz w:val="21"/>
          <w:szCs w:val="21"/>
        </w:rPr>
        <w:t xml:space="preserve">, </w:t>
      </w:r>
      <w:proofErr w:type="spellStart"/>
      <w:r w:rsidRPr="00E67990">
        <w:rPr>
          <w:sz w:val="21"/>
          <w:szCs w:val="21"/>
        </w:rPr>
        <w:t>Duigouc,T</w:t>
      </w:r>
      <w:proofErr w:type="spellEnd"/>
      <w:r w:rsidRPr="00E67990">
        <w:rPr>
          <w:sz w:val="21"/>
          <w:szCs w:val="21"/>
        </w:rPr>
        <w:t xml:space="preserve">., </w:t>
      </w:r>
      <w:proofErr w:type="spellStart"/>
      <w:r w:rsidRPr="00E67990">
        <w:rPr>
          <w:sz w:val="21"/>
          <w:szCs w:val="21"/>
        </w:rPr>
        <w:t>Carbonelld,P</w:t>
      </w:r>
      <w:proofErr w:type="spellEnd"/>
      <w:r w:rsidRPr="00E67990">
        <w:rPr>
          <w:sz w:val="21"/>
          <w:szCs w:val="21"/>
        </w:rPr>
        <w:t xml:space="preserve">. and </w:t>
      </w:r>
      <w:proofErr w:type="spellStart"/>
      <w:r w:rsidRPr="00E67990">
        <w:rPr>
          <w:sz w:val="21"/>
          <w:szCs w:val="21"/>
        </w:rPr>
        <w:t>Faulon,J</w:t>
      </w:r>
      <w:proofErr w:type="spellEnd"/>
      <w:r w:rsidRPr="00E67990">
        <w:rPr>
          <w:sz w:val="21"/>
          <w:szCs w:val="21"/>
        </w:rPr>
        <w:t>.-L. (2018)</w:t>
      </w:r>
      <w:r w:rsidR="00E67990" w:rsidRPr="00E67990">
        <w:rPr>
          <w:rFonts w:hint="eastAsia"/>
          <w:sz w:val="21"/>
          <w:szCs w:val="21"/>
        </w:rPr>
        <w:t xml:space="preserve"> </w:t>
      </w:r>
      <w:r w:rsidRPr="00E67990">
        <w:rPr>
          <w:sz w:val="21"/>
          <w:szCs w:val="21"/>
        </w:rPr>
        <w:t>RetroPath2.0: A retrosynthesis workflow for metabolic engineers.</w:t>
      </w:r>
      <w:r w:rsidR="00E67990" w:rsidRPr="00E67990">
        <w:rPr>
          <w:rFonts w:hint="eastAsia"/>
          <w:sz w:val="21"/>
          <w:szCs w:val="21"/>
        </w:rPr>
        <w:t xml:space="preserve"> </w:t>
      </w:r>
      <w:proofErr w:type="spellStart"/>
      <w:r w:rsidRPr="00E67990">
        <w:rPr>
          <w:sz w:val="21"/>
          <w:szCs w:val="21"/>
        </w:rPr>
        <w:t>Metab</w:t>
      </w:r>
      <w:proofErr w:type="spellEnd"/>
      <w:r w:rsidRPr="00E67990">
        <w:rPr>
          <w:sz w:val="21"/>
          <w:szCs w:val="21"/>
        </w:rPr>
        <w:t>. Eng., 45, 158–170.</w:t>
      </w:r>
    </w:p>
    <w:p w14:paraId="387F9313" w14:textId="4DD096E8" w:rsidR="00E67990" w:rsidRPr="00E67990" w:rsidRDefault="00E67990" w:rsidP="00E67990">
      <w:pPr>
        <w:pStyle w:val="a7"/>
        <w:spacing w:after="156"/>
        <w:jc w:val="left"/>
        <w:rPr>
          <w:sz w:val="24"/>
          <w:szCs w:val="24"/>
        </w:rPr>
      </w:pPr>
      <w:r w:rsidRPr="00E67990">
        <w:rPr>
          <w:sz w:val="24"/>
          <w:szCs w:val="24"/>
        </w:rPr>
        <w:t>synthetic complexity score (</w:t>
      </w:r>
      <w:proofErr w:type="spellStart"/>
      <w:r w:rsidRPr="00E67990">
        <w:rPr>
          <w:sz w:val="24"/>
          <w:szCs w:val="24"/>
        </w:rPr>
        <w:t>SCScore</w:t>
      </w:r>
      <w:proofErr w:type="spellEnd"/>
      <w:r w:rsidRPr="00E67990">
        <w:rPr>
          <w:sz w:val="24"/>
          <w:szCs w:val="24"/>
        </w:rPr>
        <w:t>)</w:t>
      </w:r>
      <w:r w:rsidR="00B97718">
        <w:rPr>
          <w:sz w:val="24"/>
          <w:szCs w:val="24"/>
        </w:rPr>
        <w:t xml:space="preserve"> and LD50</w:t>
      </w:r>
      <w:r w:rsidR="00F932DB" w:rsidRPr="00E67990">
        <w:rPr>
          <w:sz w:val="24"/>
          <w:szCs w:val="24"/>
        </w:rPr>
        <w:t xml:space="preserve"> of intermediates</w:t>
      </w:r>
      <w:r>
        <w:rPr>
          <w:rFonts w:hint="eastAsia"/>
          <w:sz w:val="24"/>
          <w:szCs w:val="24"/>
        </w:rPr>
        <w:t>（</w:t>
      </w:r>
      <w:r w:rsidRPr="00E67990">
        <w:rPr>
          <w:rFonts w:hint="eastAsia"/>
          <w:sz w:val="24"/>
          <w:szCs w:val="24"/>
        </w:rPr>
        <w:t>中间体的合成复杂性分数</w:t>
      </w:r>
      <w:r w:rsidR="00B97718">
        <w:rPr>
          <w:rFonts w:hint="eastAsia"/>
          <w:sz w:val="24"/>
          <w:szCs w:val="24"/>
        </w:rPr>
        <w:t>和半数致死量</w:t>
      </w:r>
      <w:r>
        <w:rPr>
          <w:rFonts w:hint="eastAsia"/>
          <w:sz w:val="24"/>
          <w:szCs w:val="24"/>
        </w:rPr>
        <w:t>）</w:t>
      </w:r>
    </w:p>
    <w:p w14:paraId="3E4E75C0" w14:textId="0921F64C" w:rsidR="00682F8A" w:rsidRDefault="00682F8A">
      <w:pPr>
        <w:spacing w:after="156"/>
      </w:pPr>
      <w:r w:rsidRPr="00682F8A">
        <w:t>基于片段贡献和复杂性惩罚，可以使用先前研究</w:t>
      </w:r>
      <w:r w:rsidR="00E67990">
        <w:rPr>
          <w:rFonts w:hint="eastAsia"/>
        </w:rPr>
        <w:t>[</w:t>
      </w:r>
      <w:r w:rsidRPr="00682F8A">
        <w:t>28</w:t>
      </w:r>
      <w:r w:rsidR="00E67990">
        <w:t>]</w:t>
      </w:r>
      <w:r w:rsidRPr="00682F8A">
        <w:t>中的方法</w:t>
      </w:r>
      <w:r w:rsidRPr="00682F8A">
        <w:rPr>
          <w:rFonts w:hint="eastAsia"/>
        </w:rPr>
        <w:t>来计算预测路径中</w:t>
      </w:r>
      <w:r w:rsidRPr="00E67990">
        <w:rPr>
          <w:rFonts w:hint="eastAsia"/>
        </w:rPr>
        <w:t>中间体的合成复杂性分数</w:t>
      </w:r>
      <w:r w:rsidR="00E67990">
        <w:rPr>
          <w:rFonts w:hint="eastAsia"/>
        </w:rPr>
        <w:t>（</w:t>
      </w:r>
      <w:proofErr w:type="spellStart"/>
      <w:r w:rsidRPr="00E67990">
        <w:t>SCScore</w:t>
      </w:r>
      <w:proofErr w:type="spellEnd"/>
      <w:r w:rsidR="00E67990">
        <w:rPr>
          <w:rFonts w:hint="eastAsia"/>
        </w:rPr>
        <w:t>）</w:t>
      </w:r>
      <w:r w:rsidRPr="00682F8A">
        <w:t>。</w:t>
      </w:r>
      <w:proofErr w:type="spellStart"/>
      <w:r w:rsidRPr="00682F8A">
        <w:t>SCScore</w:t>
      </w:r>
      <w:proofErr w:type="spellEnd"/>
      <w:r w:rsidRPr="00682F8A">
        <w:t>的范围在</w:t>
      </w:r>
      <w:r w:rsidRPr="00682F8A">
        <w:t>0</w:t>
      </w:r>
      <w:r w:rsidRPr="00682F8A">
        <w:t>到</w:t>
      </w:r>
      <w:r w:rsidRPr="00682F8A">
        <w:t>5</w:t>
      </w:r>
      <w:r w:rsidRPr="00682F8A">
        <w:t>之间，得分</w:t>
      </w:r>
      <w:r w:rsidR="00E67990">
        <w:rPr>
          <w:rFonts w:hint="eastAsia"/>
        </w:rPr>
        <w:t>越</w:t>
      </w:r>
      <w:r w:rsidRPr="00682F8A">
        <w:t>低表明化合物的复杂性</w:t>
      </w:r>
      <w:r w:rsidR="00E67990">
        <w:rPr>
          <w:rFonts w:hint="eastAsia"/>
        </w:rPr>
        <w:t>越</w:t>
      </w:r>
      <w:r w:rsidRPr="00682F8A">
        <w:t>低。此外，还可以计算中间体的</w:t>
      </w:r>
      <w:r w:rsidRPr="00B56ECE">
        <w:t>半数致死量</w:t>
      </w:r>
      <w:r w:rsidR="00B56ECE">
        <w:rPr>
          <w:rFonts w:hint="eastAsia"/>
        </w:rPr>
        <w:t>（</w:t>
      </w:r>
      <w:r w:rsidRPr="00B56ECE">
        <w:t>LD50</w:t>
      </w:r>
      <w:r w:rsidR="00B56ECE">
        <w:rPr>
          <w:rFonts w:hint="eastAsia"/>
        </w:rPr>
        <w:t>）</w:t>
      </w:r>
      <w:r w:rsidR="00B56ECE">
        <w:t>[</w:t>
      </w:r>
      <w:r w:rsidRPr="00682F8A">
        <w:t>29</w:t>
      </w:r>
      <w:r w:rsidR="00B56ECE">
        <w:t>]</w:t>
      </w:r>
      <w:r w:rsidRPr="00682F8A">
        <w:t>。使用公式</w:t>
      </w:r>
      <w:r w:rsidRPr="00682F8A">
        <w:t>(7)</w:t>
      </w:r>
      <w:r w:rsidRPr="00682F8A">
        <w:t>计算整个路径</w:t>
      </w:r>
      <w:r w:rsidR="00B56ECE" w:rsidRPr="00B56ECE">
        <w:rPr>
          <w:rFonts w:hint="eastAsia"/>
        </w:rPr>
        <w:t>惩罚分数</w:t>
      </w:r>
      <w:r w:rsidRPr="00682F8A">
        <w:t>。</w:t>
      </w:r>
    </w:p>
    <w:p w14:paraId="5A348ADC" w14:textId="5C618137" w:rsidR="002D2450" w:rsidRDefault="00B56ECE" w:rsidP="002D2450">
      <w:pPr>
        <w:pStyle w:val="MTDisplayEquation"/>
      </w:pPr>
      <w:r>
        <w:tab/>
      </w:r>
      <w:r w:rsidR="007D203C" w:rsidRPr="007D203C">
        <w:rPr>
          <w:position w:val="-32"/>
        </w:rPr>
        <w:object w:dxaOrig="5960" w:dyaOrig="740" w14:anchorId="5954E735">
          <v:shape id="_x0000_i1029" type="#_x0000_t75" style="width:298pt;height:37.35pt" o:ole="">
            <v:imagedata r:id="rId14" o:title=""/>
          </v:shape>
          <o:OLEObject Type="Embed" ProgID="Equation.DSMT4" ShapeID="_x0000_i1029" DrawAspect="Content" ObjectID="_1708633161" r:id="rId15"/>
        </w:object>
      </w:r>
    </w:p>
    <w:p w14:paraId="23A70634" w14:textId="21D06E3C" w:rsidR="002D2450" w:rsidRPr="002D2450" w:rsidRDefault="002D2450" w:rsidP="002D2450">
      <w:pPr>
        <w:spacing w:after="156"/>
        <w:rPr>
          <w:rFonts w:hint="eastAsia"/>
        </w:rPr>
      </w:pPr>
      <w:r>
        <w:rPr>
          <w:rFonts w:hint="eastAsia"/>
        </w:rPr>
        <w:t>其中，</w:t>
      </w:r>
    </w:p>
    <w:p w14:paraId="09478FE5" w14:textId="0461A2E5" w:rsidR="00125D1F" w:rsidRPr="00125D1F" w:rsidRDefault="002D2450" w:rsidP="002D2450">
      <w:pPr>
        <w:spacing w:after="156"/>
        <w:jc w:val="center"/>
        <w:rPr>
          <w:rFonts w:hint="eastAsia"/>
        </w:rPr>
      </w:pPr>
      <w:r w:rsidRPr="002D2450">
        <w:rPr>
          <w:position w:val="-128"/>
        </w:rPr>
        <w:object w:dxaOrig="4580" w:dyaOrig="2680" w14:anchorId="69C74029">
          <v:shape id="_x0000_i1035" type="#_x0000_t75" style="width:229.35pt;height:134pt" o:ole="">
            <v:imagedata r:id="rId16" o:title=""/>
          </v:shape>
          <o:OLEObject Type="Embed" ProgID="Equation.DSMT4" ShapeID="_x0000_i1035" DrawAspect="Content" ObjectID="_1708633162" r:id="rId17"/>
        </w:object>
      </w:r>
    </w:p>
    <w:p w14:paraId="1D0DF4E4" w14:textId="1D74E928" w:rsidR="00B97718" w:rsidRPr="00B97718" w:rsidRDefault="00B97718" w:rsidP="00B97718">
      <w:pPr>
        <w:spacing w:afterLines="0" w:after="0"/>
        <w:rPr>
          <w:sz w:val="21"/>
          <w:szCs w:val="21"/>
        </w:rPr>
      </w:pPr>
      <w:r w:rsidRPr="00B97718">
        <w:rPr>
          <w:sz w:val="21"/>
          <w:szCs w:val="21"/>
        </w:rPr>
        <w:lastRenderedPageBreak/>
        <w:t xml:space="preserve">[28] </w:t>
      </w:r>
      <w:proofErr w:type="spellStart"/>
      <w:proofErr w:type="gramStart"/>
      <w:r w:rsidRPr="00B97718">
        <w:rPr>
          <w:sz w:val="21"/>
          <w:szCs w:val="21"/>
        </w:rPr>
        <w:t>Caille,S</w:t>
      </w:r>
      <w:proofErr w:type="spellEnd"/>
      <w:r w:rsidRPr="00B97718">
        <w:rPr>
          <w:sz w:val="21"/>
          <w:szCs w:val="21"/>
        </w:rPr>
        <w:t>.</w:t>
      </w:r>
      <w:proofErr w:type="gramEnd"/>
      <w:r w:rsidRPr="00B97718">
        <w:rPr>
          <w:sz w:val="21"/>
          <w:szCs w:val="21"/>
        </w:rPr>
        <w:t xml:space="preserve">, </w:t>
      </w:r>
      <w:proofErr w:type="spellStart"/>
      <w:r w:rsidRPr="00B97718">
        <w:rPr>
          <w:sz w:val="21"/>
          <w:szCs w:val="21"/>
        </w:rPr>
        <w:t>Cui,S</w:t>
      </w:r>
      <w:proofErr w:type="spellEnd"/>
      <w:r w:rsidRPr="00B97718">
        <w:rPr>
          <w:sz w:val="21"/>
          <w:szCs w:val="21"/>
        </w:rPr>
        <w:t xml:space="preserve">., </w:t>
      </w:r>
      <w:proofErr w:type="spellStart"/>
      <w:r w:rsidRPr="00B97718">
        <w:rPr>
          <w:sz w:val="21"/>
          <w:szCs w:val="21"/>
        </w:rPr>
        <w:t>Faul,M.M</w:t>
      </w:r>
      <w:proofErr w:type="spellEnd"/>
      <w:r w:rsidRPr="00B97718">
        <w:rPr>
          <w:sz w:val="21"/>
          <w:szCs w:val="21"/>
        </w:rPr>
        <w:t xml:space="preserve">., </w:t>
      </w:r>
      <w:proofErr w:type="spellStart"/>
      <w:r w:rsidRPr="00B97718">
        <w:rPr>
          <w:sz w:val="21"/>
          <w:szCs w:val="21"/>
        </w:rPr>
        <w:t>Mennen,S.M</w:t>
      </w:r>
      <w:proofErr w:type="spellEnd"/>
      <w:r w:rsidRPr="00B97718">
        <w:rPr>
          <w:sz w:val="21"/>
          <w:szCs w:val="21"/>
        </w:rPr>
        <w:t xml:space="preserve">., </w:t>
      </w:r>
      <w:proofErr w:type="spellStart"/>
      <w:r w:rsidRPr="00B97718">
        <w:rPr>
          <w:sz w:val="21"/>
          <w:szCs w:val="21"/>
        </w:rPr>
        <w:t>Tedrow,J.S</w:t>
      </w:r>
      <w:proofErr w:type="spellEnd"/>
      <w:r w:rsidRPr="00B97718">
        <w:rPr>
          <w:sz w:val="21"/>
          <w:szCs w:val="21"/>
        </w:rPr>
        <w:t>. and</w:t>
      </w:r>
      <w:r>
        <w:rPr>
          <w:sz w:val="21"/>
          <w:szCs w:val="21"/>
        </w:rPr>
        <w:t xml:space="preserve"> </w:t>
      </w:r>
      <w:proofErr w:type="spellStart"/>
      <w:r w:rsidRPr="00B97718">
        <w:rPr>
          <w:sz w:val="21"/>
          <w:szCs w:val="21"/>
        </w:rPr>
        <w:t>Walker,S.D</w:t>
      </w:r>
      <w:proofErr w:type="spellEnd"/>
      <w:r w:rsidRPr="00B97718">
        <w:rPr>
          <w:sz w:val="21"/>
          <w:szCs w:val="21"/>
        </w:rPr>
        <w:t>. (2019) Molecular complexity as a driver for chemical</w:t>
      </w:r>
      <w:r>
        <w:rPr>
          <w:rFonts w:hint="eastAsia"/>
          <w:sz w:val="21"/>
          <w:szCs w:val="21"/>
        </w:rPr>
        <w:t xml:space="preserve"> </w:t>
      </w:r>
      <w:r w:rsidRPr="00B97718">
        <w:rPr>
          <w:sz w:val="21"/>
          <w:szCs w:val="21"/>
        </w:rPr>
        <w:t>process innovation in the pharmaceutical industry. J. Org. Chem., 84,</w:t>
      </w:r>
      <w:r>
        <w:rPr>
          <w:rFonts w:hint="eastAsia"/>
          <w:sz w:val="21"/>
          <w:szCs w:val="21"/>
        </w:rPr>
        <w:t xml:space="preserve"> </w:t>
      </w:r>
      <w:r w:rsidRPr="00B97718">
        <w:rPr>
          <w:sz w:val="21"/>
          <w:szCs w:val="21"/>
        </w:rPr>
        <w:t>4583–4603.</w:t>
      </w:r>
    </w:p>
    <w:p w14:paraId="66CE464F" w14:textId="0CD47444" w:rsidR="00C42F0C" w:rsidRPr="00F932DB" w:rsidRDefault="00B97718" w:rsidP="00F932DB">
      <w:pPr>
        <w:spacing w:afterLines="0" w:after="0"/>
        <w:rPr>
          <w:sz w:val="21"/>
          <w:szCs w:val="21"/>
        </w:rPr>
      </w:pPr>
      <w:r w:rsidRPr="00B97718">
        <w:rPr>
          <w:sz w:val="21"/>
          <w:szCs w:val="21"/>
        </w:rPr>
        <w:t xml:space="preserve">[29] </w:t>
      </w:r>
      <w:proofErr w:type="spellStart"/>
      <w:proofErr w:type="gramStart"/>
      <w:r w:rsidRPr="00B97718">
        <w:rPr>
          <w:sz w:val="21"/>
          <w:szCs w:val="21"/>
        </w:rPr>
        <w:t>Dong,J</w:t>
      </w:r>
      <w:proofErr w:type="spellEnd"/>
      <w:r w:rsidRPr="00B97718">
        <w:rPr>
          <w:sz w:val="21"/>
          <w:szCs w:val="21"/>
        </w:rPr>
        <w:t>.</w:t>
      </w:r>
      <w:proofErr w:type="gramEnd"/>
      <w:r w:rsidRPr="00B97718">
        <w:rPr>
          <w:sz w:val="21"/>
          <w:szCs w:val="21"/>
        </w:rPr>
        <w:t xml:space="preserve">, </w:t>
      </w:r>
      <w:proofErr w:type="spellStart"/>
      <w:r w:rsidRPr="00B97718">
        <w:rPr>
          <w:sz w:val="21"/>
          <w:szCs w:val="21"/>
        </w:rPr>
        <w:t>Wang,N.N</w:t>
      </w:r>
      <w:proofErr w:type="spellEnd"/>
      <w:r w:rsidRPr="00B97718">
        <w:rPr>
          <w:sz w:val="21"/>
          <w:szCs w:val="21"/>
        </w:rPr>
        <w:t xml:space="preserve">., </w:t>
      </w:r>
      <w:proofErr w:type="spellStart"/>
      <w:r w:rsidRPr="00B97718">
        <w:rPr>
          <w:sz w:val="21"/>
          <w:szCs w:val="21"/>
        </w:rPr>
        <w:t>Yao,Z.J</w:t>
      </w:r>
      <w:proofErr w:type="spellEnd"/>
      <w:r w:rsidRPr="00B97718">
        <w:rPr>
          <w:sz w:val="21"/>
          <w:szCs w:val="21"/>
        </w:rPr>
        <w:t xml:space="preserve">., </w:t>
      </w:r>
      <w:proofErr w:type="spellStart"/>
      <w:r w:rsidRPr="00B97718">
        <w:rPr>
          <w:sz w:val="21"/>
          <w:szCs w:val="21"/>
        </w:rPr>
        <w:t>Zhang,L</w:t>
      </w:r>
      <w:proofErr w:type="spellEnd"/>
      <w:r w:rsidRPr="00B97718">
        <w:rPr>
          <w:sz w:val="21"/>
          <w:szCs w:val="21"/>
        </w:rPr>
        <w:t xml:space="preserve">., </w:t>
      </w:r>
      <w:proofErr w:type="spellStart"/>
      <w:r w:rsidRPr="00B97718">
        <w:rPr>
          <w:sz w:val="21"/>
          <w:szCs w:val="21"/>
        </w:rPr>
        <w:t>Cheng,Y</w:t>
      </w:r>
      <w:proofErr w:type="spellEnd"/>
      <w:r w:rsidRPr="00B97718">
        <w:rPr>
          <w:sz w:val="21"/>
          <w:szCs w:val="21"/>
        </w:rPr>
        <w:t xml:space="preserve">., </w:t>
      </w:r>
      <w:proofErr w:type="spellStart"/>
      <w:r w:rsidRPr="00B97718">
        <w:rPr>
          <w:sz w:val="21"/>
          <w:szCs w:val="21"/>
        </w:rPr>
        <w:t>Ouyang,D</w:t>
      </w:r>
      <w:proofErr w:type="spellEnd"/>
      <w:r w:rsidRPr="00B97718">
        <w:rPr>
          <w:sz w:val="21"/>
          <w:szCs w:val="21"/>
        </w:rPr>
        <w:t>.,</w:t>
      </w:r>
      <w:r>
        <w:rPr>
          <w:rFonts w:hint="eastAsia"/>
          <w:sz w:val="21"/>
          <w:szCs w:val="21"/>
        </w:rPr>
        <w:t xml:space="preserve"> </w:t>
      </w:r>
      <w:proofErr w:type="spellStart"/>
      <w:r w:rsidRPr="00B97718">
        <w:rPr>
          <w:sz w:val="21"/>
          <w:szCs w:val="21"/>
        </w:rPr>
        <w:t>Lu,A.P</w:t>
      </w:r>
      <w:proofErr w:type="spellEnd"/>
      <w:r w:rsidRPr="00B97718">
        <w:rPr>
          <w:sz w:val="21"/>
          <w:szCs w:val="21"/>
        </w:rPr>
        <w:t xml:space="preserve">. and </w:t>
      </w:r>
      <w:proofErr w:type="spellStart"/>
      <w:r w:rsidRPr="00B97718">
        <w:rPr>
          <w:sz w:val="21"/>
          <w:szCs w:val="21"/>
        </w:rPr>
        <w:t>Cao,D.S</w:t>
      </w:r>
      <w:proofErr w:type="spellEnd"/>
      <w:r w:rsidRPr="00B97718">
        <w:rPr>
          <w:sz w:val="21"/>
          <w:szCs w:val="21"/>
        </w:rPr>
        <w:t xml:space="preserve">. (2018) </w:t>
      </w:r>
      <w:proofErr w:type="spellStart"/>
      <w:r w:rsidRPr="00B97718">
        <w:rPr>
          <w:sz w:val="21"/>
          <w:szCs w:val="21"/>
        </w:rPr>
        <w:t>ADMETlab</w:t>
      </w:r>
      <w:proofErr w:type="spellEnd"/>
      <w:r w:rsidRPr="00B97718">
        <w:rPr>
          <w:sz w:val="21"/>
          <w:szCs w:val="21"/>
        </w:rPr>
        <w:t>: a platform for systematic</w:t>
      </w:r>
      <w:r>
        <w:rPr>
          <w:rFonts w:hint="eastAsia"/>
          <w:sz w:val="21"/>
          <w:szCs w:val="21"/>
        </w:rPr>
        <w:t xml:space="preserve"> </w:t>
      </w:r>
      <w:r w:rsidRPr="00B97718">
        <w:rPr>
          <w:sz w:val="21"/>
          <w:szCs w:val="21"/>
        </w:rPr>
        <w:t>ADMET evaluation based on a comprehensively collected ADMET</w:t>
      </w:r>
      <w:r>
        <w:rPr>
          <w:rFonts w:hint="eastAsia"/>
          <w:sz w:val="21"/>
          <w:szCs w:val="21"/>
        </w:rPr>
        <w:t xml:space="preserve"> </w:t>
      </w:r>
      <w:r w:rsidRPr="00B97718">
        <w:rPr>
          <w:sz w:val="21"/>
          <w:szCs w:val="21"/>
        </w:rPr>
        <w:t>database. J. Cheminformatics, 10, 29–40.</w:t>
      </w:r>
    </w:p>
    <w:sectPr w:rsidR="00C42F0C" w:rsidRPr="00F93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6B145" w14:textId="77777777" w:rsidR="00895E52" w:rsidRDefault="00895E52" w:rsidP="00920F4A">
      <w:pPr>
        <w:spacing w:after="120"/>
      </w:pPr>
      <w:r>
        <w:separator/>
      </w:r>
    </w:p>
  </w:endnote>
  <w:endnote w:type="continuationSeparator" w:id="0">
    <w:p w14:paraId="4E92FFFD" w14:textId="77777777" w:rsidR="00895E52" w:rsidRDefault="00895E52" w:rsidP="00920F4A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1280D" w14:textId="77777777" w:rsidR="00895E52" w:rsidRDefault="00895E52" w:rsidP="00920F4A">
      <w:pPr>
        <w:spacing w:after="120"/>
      </w:pPr>
      <w:r>
        <w:separator/>
      </w:r>
    </w:p>
  </w:footnote>
  <w:footnote w:type="continuationSeparator" w:id="0">
    <w:p w14:paraId="67AC8AA1" w14:textId="77777777" w:rsidR="00895E52" w:rsidRDefault="00895E52" w:rsidP="00920F4A">
      <w:pPr>
        <w:spacing w:after="1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2F"/>
    <w:rsid w:val="000C222F"/>
    <w:rsid w:val="000C4267"/>
    <w:rsid w:val="00125D1F"/>
    <w:rsid w:val="00126F86"/>
    <w:rsid w:val="00173886"/>
    <w:rsid w:val="002D2450"/>
    <w:rsid w:val="00540A70"/>
    <w:rsid w:val="005F43B1"/>
    <w:rsid w:val="00682F8A"/>
    <w:rsid w:val="00690268"/>
    <w:rsid w:val="006D5DF8"/>
    <w:rsid w:val="007160BB"/>
    <w:rsid w:val="0075072D"/>
    <w:rsid w:val="00752F2F"/>
    <w:rsid w:val="007D203C"/>
    <w:rsid w:val="008013FF"/>
    <w:rsid w:val="0088423C"/>
    <w:rsid w:val="00895E52"/>
    <w:rsid w:val="008A39E1"/>
    <w:rsid w:val="008A54A7"/>
    <w:rsid w:val="00920F4A"/>
    <w:rsid w:val="009522A7"/>
    <w:rsid w:val="009617AD"/>
    <w:rsid w:val="00965FF5"/>
    <w:rsid w:val="009E05D5"/>
    <w:rsid w:val="00A132A3"/>
    <w:rsid w:val="00B02A1D"/>
    <w:rsid w:val="00B56ECE"/>
    <w:rsid w:val="00B97718"/>
    <w:rsid w:val="00C42F0C"/>
    <w:rsid w:val="00C745CD"/>
    <w:rsid w:val="00CF15B6"/>
    <w:rsid w:val="00D20669"/>
    <w:rsid w:val="00DA029D"/>
    <w:rsid w:val="00E13371"/>
    <w:rsid w:val="00E67990"/>
    <w:rsid w:val="00EF0054"/>
    <w:rsid w:val="00F922A8"/>
    <w:rsid w:val="00F932DB"/>
    <w:rsid w:val="00F9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E3521"/>
  <w15:chartTrackingRefBased/>
  <w15:docId w15:val="{EC99E2DF-48C0-4583-9893-8AA59D81C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5B6"/>
    <w:pPr>
      <w:widowControl w:val="0"/>
      <w:spacing w:afterLines="50" w:after="5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160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0F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0F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0F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0F4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160BB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7160BB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160BB"/>
    <w:rPr>
      <w:b/>
      <w:bCs/>
      <w:kern w:val="28"/>
      <w:sz w:val="32"/>
      <w:szCs w:val="32"/>
    </w:rPr>
  </w:style>
  <w:style w:type="paragraph" w:customStyle="1" w:styleId="MTDisplayEquation">
    <w:name w:val="MTDisplayEquation"/>
    <w:basedOn w:val="a"/>
    <w:next w:val="a"/>
    <w:link w:val="MTDisplayEquation0"/>
    <w:rsid w:val="008A54A7"/>
    <w:pPr>
      <w:tabs>
        <w:tab w:val="center" w:pos="4160"/>
        <w:tab w:val="right" w:pos="8300"/>
      </w:tabs>
      <w:spacing w:after="156"/>
    </w:pPr>
  </w:style>
  <w:style w:type="character" w:customStyle="1" w:styleId="MTDisplayEquation0">
    <w:name w:val="MTDisplayEquation 字符"/>
    <w:basedOn w:val="a0"/>
    <w:link w:val="MTDisplayEquation"/>
    <w:rsid w:val="008A54A7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xue</dc:creator>
  <cp:keywords/>
  <dc:description/>
  <cp:lastModifiedBy>jia xue</cp:lastModifiedBy>
  <cp:revision>12</cp:revision>
  <dcterms:created xsi:type="dcterms:W3CDTF">2022-03-07T03:50:00Z</dcterms:created>
  <dcterms:modified xsi:type="dcterms:W3CDTF">2022-03-12T15:32:00Z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