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lineRule="auto" w:line="240"/>
        <w:ind w:firstLine="480" w:firstLineChars="200"/>
        <w:jc w:val="both"/>
        <w:rPr/>
      </w:pPr>
      <w:bookmarkStart w:id="0" w:name="_GoBack"/>
      <w:bookmarkEnd w:id="0"/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Chinese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postgraduate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improve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English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writing,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sample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authentic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English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abstracts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(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Ea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),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Chinese-to-English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abstracts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(Ta),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Chinese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abstracts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(Ca)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20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fields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randomly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collected,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abstracts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divided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four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parts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according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Bhatia's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(1993)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model,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marked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colours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aggregated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comparative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analysis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applying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SPSS.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lineRule="auto" w:line="240"/>
        <w:ind w:firstLine="480" w:firstLineChars="200"/>
        <w:jc w:val="both"/>
        <w:rPr/>
      </w:pP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study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demonstrated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similarities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differences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Ea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Ta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Ca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terms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distribution,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temporal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pattern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movement,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"introduction"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part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Ta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only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frequent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parts,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having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imbalanced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structure,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whereas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structure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Ea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relatively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balanced.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comparing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tenses,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found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although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abstracts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seven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action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tenses,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proportion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present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tense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Ea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much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higher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Ta.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addition,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comparing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passive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verbs,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found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frequency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passive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verbs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Ea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higher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Ta,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implies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same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previous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section.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lineRule="auto" w:line="240"/>
        <w:ind w:firstLine="480" w:firstLineChars="200"/>
        <w:jc w:val="both"/>
        <w:rPr/>
      </w:pP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suggests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although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Chinese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writers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knowledge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grammatical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rules,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thorough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understanding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meanings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functions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tenses,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plus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influenced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transfer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mother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tongue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writing.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lineRule="auto" w:line="240"/>
        <w:ind w:firstLine="480" w:firstLineChars="200"/>
        <w:jc w:val="both"/>
        <w:rPr/>
      </w:pP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Therefore,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clarifying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analysing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similarities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differences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influence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Chinese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English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language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differences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writing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necessary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learning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process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postgraduate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students.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245</Words>
  <Characters>1329</Characters>
  <Application>WPS Office</Application>
  <Paragraphs>5</Paragraphs>
  <CharactersWithSpaces>1573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2024-06-29T10:52:41Z</dcterms:created>
  <dc:creator>Hera-BD00</dc:creator>
  <lastModifiedBy>Hera-BD00</lastModifiedBy>
  <dcterms:modified xsi:type="dcterms:W3CDTF">2024-06-29T10:53:08Z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acddd67f4beb4960b8bbd756c4c8f526_21</vt:lpwstr>
  </property>
</Properties>
</file>