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微软雅黑" w:hAnsi="微软雅黑" w:eastAsia="微软雅黑" w:cs="Times New Roman"/>
          <w:szCs w:val="21"/>
        </w:rPr>
        <w:t>【信息技术应用】（</w:t>
      </w:r>
      <w:r>
        <w:rPr>
          <w:rFonts w:hint="eastAsia" w:ascii="Times New Roman" w:hAnsi="Times New Roman" w:eastAsia="宋体" w:cs="Times New Roman"/>
          <w:szCs w:val="21"/>
        </w:rPr>
        <w:t>第8</w:t>
      </w:r>
      <w:r>
        <w:rPr>
          <w:rFonts w:ascii="Times New Roman" w:hAnsi="Times New Roman" w:eastAsia="宋体" w:cs="Times New Roman"/>
          <w:szCs w:val="21"/>
        </w:rPr>
        <w:t>7</w:t>
      </w:r>
      <w:r>
        <w:rPr>
          <w:rFonts w:hint="eastAsia" w:ascii="Times New Roman" w:hAnsi="Times New Roman" w:eastAsia="宋体" w:cs="Times New Roman"/>
          <w:szCs w:val="21"/>
        </w:rPr>
        <w:t>页）</w:t>
      </w:r>
    </w:p>
    <w:p>
      <w:pPr>
        <w:jc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概率分布图及概率计算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利用 GeoGebra动态教学软件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可以画二项分布、超几何分布、正态分布等概率分布图，计算随机变量取值于某区间内的概率.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打开软件，进入 GeoGebra的界面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点击右侧边框中的小三角，在显示的经典菜单中选择 “概率统计”.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1.  二项分布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选择二项分布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输入试验次数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n=20</m:t>
        </m:r>
      </m:oMath>
      <w:r>
        <w:rPr>
          <w:rFonts w:ascii="Times New Roman" w:hAnsi="Times New Roman" w:eastAsia="楷体" w:cs="Times New Roman"/>
          <w:szCs w:val="21"/>
        </w:rPr>
        <w:t>及成功概率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p=0.5, </m:t>
        </m:r>
      </m:oMath>
      <w:r>
        <w:rPr>
          <w:rFonts w:ascii="Times New Roman" w:hAnsi="Times New Roman" w:eastAsia="楷体" w:cs="Times New Roman"/>
          <w:szCs w:val="21"/>
        </w:rPr>
        <w:t xml:space="preserve"> 即 </w:t>
      </w:r>
      <m:oMath>
        <m:r>
          <m:rPr/>
          <w:rPr>
            <w:rFonts w:ascii="Cambria Math" w:hAnsi="Cambria Math" w:eastAsia="楷体" w:cs="Times New Roman"/>
            <w:szCs w:val="21"/>
          </w:rPr>
          <m:t>B(20,0.5 ) .</m:t>
        </m:r>
      </m:oMath>
      <w:r>
        <w:rPr>
          <w:rFonts w:ascii="Times New Roman" w:hAnsi="Times New Roman" w:eastAsia="楷体" w:cs="Times New Roman"/>
          <w:szCs w:val="21"/>
        </w:rPr>
        <w:t xml:space="preserve"> 如图1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绘图区显示二项概率分布图，右侧显示分布列．输入随机变量的取值范围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窗口底部显示随机变量落在该范围的概率，例如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m:oMathPara>
        <m:oMath>
          <m:r>
            <m:rPr/>
            <w:rPr>
              <w:rFonts w:ascii="Cambria Math" w:hAnsi="Cambria Math" w:eastAsia="楷体" w:cs="Times New Roman"/>
              <w:szCs w:val="21"/>
            </w:rPr>
            <m:t>P(8≤X≤12) =0.7368.</m:t>
          </m:r>
        </m:oMath>
      </m:oMathPara>
    </w:p>
    <w:p>
      <w:pPr>
        <w:ind w:firstLine="420" w:firstLineChars="200"/>
        <w:jc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drawing>
          <wp:inline distT="0" distB="0" distL="0" distR="0">
            <wp:extent cx="6214110" cy="2637790"/>
            <wp:effectExtent l="0" t="0" r="3810" b="13970"/>
            <wp:docPr id="1058050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50506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912" cy="264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2.  超几何分布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 xml:space="preserve">选择超几何分布，输入总体 </w:t>
      </w:r>
      <m:oMath>
        <m:r>
          <m:rPr/>
          <w:rPr>
            <w:rFonts w:ascii="Cambria Math" w:hAnsi="Cambria Math" w:eastAsia="楷体" w:cs="Times New Roman"/>
            <w:szCs w:val="21"/>
          </w:rPr>
          <m:t>N=100,M=10</m:t>
        </m:r>
      </m:oMath>
      <w:r>
        <w:rPr>
          <w:rFonts w:ascii="Times New Roman" w:hAnsi="Times New Roman" w:eastAsia="楷体" w:cs="Times New Roman"/>
          <w:szCs w:val="21"/>
        </w:rPr>
        <w:t>及样本</w:t>
      </w:r>
      <m:oMath>
        <m:r>
          <m:rPr/>
          <w:rPr>
            <w:rFonts w:ascii="Cambria Math" w:hAnsi="Cambria Math" w:eastAsia="楷体" w:cs="Times New Roman"/>
            <w:szCs w:val="21"/>
          </w:rPr>
          <m:t>n=30</m:t>
        </m:r>
      </m:oMath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 xml:space="preserve">即 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ℎ(30,100,10) </m:t>
        </m:r>
      </m:oMath>
      <w:r>
        <w:rPr>
          <w:rFonts w:ascii="Times New Roman" w:hAnsi="Times New Roman" w:eastAsia="楷体" w:cs="Times New Roman"/>
          <w:szCs w:val="21"/>
        </w:rPr>
        <w:t>.  如图2,  绘图区显示超几何概率分布图，右侧显示分布列．输入随机变量的取值范围， 窗口底部显示随机变量落在该范围的概率，例如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m:oMathPara>
        <m:oMath>
          <m:r>
            <m:rPr/>
            <w:rPr>
              <w:rFonts w:ascii="Cambria Math" w:hAnsi="Cambria Math" w:eastAsia="楷体" w:cs="Times New Roman"/>
              <w:szCs w:val="21"/>
            </w:rPr>
            <m:t>P(1≤X≤5) =0.9383 .</m:t>
          </m:r>
        </m:oMath>
      </m:oMathPara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3672840</wp:posOffset>
            </wp:positionH>
            <wp:positionV relativeFrom="paragraph">
              <wp:posOffset>135255</wp:posOffset>
            </wp:positionV>
            <wp:extent cx="2886075" cy="2369820"/>
            <wp:effectExtent l="0" t="0" r="9525" b="7620"/>
            <wp:wrapSquare wrapText="bothSides"/>
            <wp:docPr id="6269879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87911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楷体" w:cs="Times New Roman"/>
          <w:szCs w:val="21"/>
        </w:rPr>
        <w:t>3.  正态分布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选择正态分布</w:t>
      </w:r>
      <w:r>
        <w:rPr>
          <w:rFonts w:hint="eastAsia" w:ascii="Times New Roman" w:hAnsi="Times New Roman" w:eastAsia="楷体" w:cs="Times New Roman"/>
          <w:szCs w:val="21"/>
        </w:rPr>
        <w:t>，输</w:t>
      </w:r>
      <w:r>
        <w:rPr>
          <w:rFonts w:ascii="Times New Roman" w:hAnsi="Times New Roman" w:eastAsia="楷体" w:cs="Times New Roman"/>
          <w:szCs w:val="21"/>
        </w:rPr>
        <w:t xml:space="preserve">入均值 </w:t>
      </w:r>
      <m:oMath>
        <m:r>
          <m:rPr/>
          <w:rPr>
            <w:rFonts w:ascii="Cambria Math" w:hAnsi="Cambria Math" w:eastAsia="楷体" w:cs="Times New Roman"/>
            <w:szCs w:val="21"/>
          </w:rPr>
          <m:t>μ=0</m:t>
        </m:r>
      </m:oMath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标准差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σ=1</m:t>
        </m:r>
      </m:oMath>
      <w:r>
        <w:rPr>
          <w:rFonts w:ascii="Times New Roman" w:hAnsi="Times New Roman" w:eastAsia="楷体" w:cs="Times New Roman"/>
          <w:szCs w:val="21"/>
        </w:rPr>
        <w:t xml:space="preserve">,  即 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N(0, 1) </m:t>
        </m:r>
      </m:oMath>
      <w:r>
        <w:rPr>
          <w:rFonts w:ascii="Times New Roman" w:hAnsi="Times New Roman" w:eastAsia="楷体" w:cs="Times New Roman"/>
          <w:szCs w:val="21"/>
        </w:rPr>
        <w:t>. 如图3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绘图区显示正态密度曲线图．输入随机变量的取值范围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窗口底部显示随机变量落在该范围的概率，例如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bookmarkStart w:id="0" w:name="_GoBack"/>
      <w:r>
        <w:rPr>
          <w:rFonts w:ascii="Times New Roman" w:hAnsi="Times New Roman" w:eastAsia="楷体" w:cs="Times New Roman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645795</wp:posOffset>
                </wp:positionV>
                <wp:extent cx="234315" cy="192405"/>
                <wp:effectExtent l="0" t="0" r="0" b="0"/>
                <wp:wrapNone/>
                <wp:docPr id="1894584628" name="Text Box 2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34315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20" w:line="193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13"/>
                                <w:sz w:val="19"/>
                                <w:szCs w:val="19"/>
                              </w:rPr>
                              <w:t>图3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28" o:spid="_x0000_s1026" o:spt="202" type="#_x0000_t202" style="position:absolute;left:0pt;margin-left:346.5pt;margin-top:50.85pt;height:15.15pt;width:18.45pt;z-index:251659264;mso-width-relative:page;mso-height-relative:page;" filled="f" stroked="f" coordsize="21600,21600" o:gfxdata="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449xEdkAAAALAQAADwAAAAAAAAABACAAAAAiAAAAZHJzL2Rvd25yZXYueG1sUEsBAhQAFAAAAAgA&#10;h07iQF4Nld/rAQAA3w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20" w:line="193" w:lineRule="auto"/>
                        <w:ind w:left="2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13"/>
                          <w:sz w:val="19"/>
                          <w:szCs w:val="19"/>
                        </w:rPr>
                        <w:t>图3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m:oMath>
        <m:r>
          <m:rPr/>
          <w:rPr>
            <w:rFonts w:ascii="Cambria Math" w:hAnsi="Cambria Math" w:eastAsia="楷体" w:cs="Times New Roman"/>
            <w:szCs w:val="21"/>
          </w:rPr>
          <m:t>P</m:t>
        </m:r>
        <m:r>
          <m:rPr>
            <m:sty m:val="p"/>
          </m:rPr>
          <w:rPr>
            <w:rFonts w:ascii="Cambria Math" w:hAnsi="Cambria Math" w:eastAsia="楷体" w:cs="Times New Roman"/>
            <w:szCs w:val="21"/>
          </w:rPr>
          <m:t>(−1≤</m:t>
        </m:r>
        <m:r>
          <m:rPr/>
          <w:rPr>
            <w:rFonts w:ascii="Cambria Math" w:hAnsi="Cambria Math" w:eastAsia="楷体" w:cs="Times New Roman"/>
            <w:szCs w:val="21"/>
          </w:rPr>
          <m:t>X</m:t>
        </m:r>
        <m:r>
          <m:rPr>
            <m:sty m:val="p"/>
          </m:rPr>
          <w:rPr>
            <w:rFonts w:ascii="Cambria Math" w:hAnsi="Cambria Math" w:eastAsia="楷体" w:cs="Times New Roman"/>
            <w:szCs w:val="21"/>
          </w:rPr>
          <m:t>≤1) =0.6827</m:t>
        </m:r>
      </m:oMath>
      <w:r>
        <w:rPr>
          <w:rFonts w:hint="eastAsia" w:ascii="Times New Roman" w:hAnsi="Times New Roman" w:eastAsia="楷体" w:cs="Times New Roman"/>
          <w:szCs w:val="21"/>
        </w:rPr>
        <w:t>，</w:t>
      </w:r>
    </w:p>
    <w:p>
      <w:pPr>
        <w:ind w:firstLine="420" w:firstLineChars="200"/>
        <w:rPr>
          <w:rFonts w:hint="eastAsia" w:ascii="Times New Roman" w:hAnsi="Times New Roman" w:eastAsia="楷体" w:cs="Times New Roman"/>
          <w:szCs w:val="21"/>
        </w:rPr>
      </w:pPr>
      <m:oMath>
        <m:r>
          <m:rPr/>
          <w:rPr>
            <w:rFonts w:ascii="Cambria Math" w:hAnsi="Cambria Math" w:eastAsia="楷体" w:cs="Times New Roman"/>
            <w:szCs w:val="21"/>
          </w:rPr>
          <m:t>P</m:t>
        </m:r>
        <m:r>
          <m:rPr>
            <m:sty m:val="p"/>
          </m:rPr>
          <w:rPr>
            <w:rFonts w:ascii="Cambria Math" w:hAnsi="Cambria Math" w:eastAsia="楷体" w:cs="Times New Roman"/>
            <w:szCs w:val="21"/>
          </w:rPr>
          <m:t>(−2≤</m:t>
        </m:r>
        <m:r>
          <m:rPr/>
          <w:rPr>
            <w:rFonts w:ascii="Cambria Math" w:hAnsi="Cambria Math" w:eastAsia="楷体" w:cs="Times New Roman"/>
            <w:szCs w:val="21"/>
          </w:rPr>
          <m:t>X</m:t>
        </m:r>
        <m:r>
          <m:rPr>
            <m:sty m:val="p"/>
          </m:rPr>
          <w:rPr>
            <w:rFonts w:ascii="Cambria Math" w:hAnsi="Cambria Math" w:eastAsia="楷体" w:cs="Times New Roman"/>
            <w:szCs w:val="21"/>
          </w:rPr>
          <m:t>≤2) =0.9545</m:t>
        </m:r>
      </m:oMath>
      <w:r>
        <w:rPr>
          <w:rFonts w:hint="eastAsia" w:ascii="Times New Roman" w:hAnsi="Times New Roman" w:eastAsia="楷体" w:cs="Times New Roman"/>
          <w:szCs w:val="21"/>
        </w:rPr>
        <w:t>，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m:oMath>
        <m:r>
          <m:rPr/>
          <w:rPr>
            <w:rFonts w:ascii="Cambria Math" w:hAnsi="Cambria Math" w:eastAsia="楷体" w:cs="Times New Roman"/>
            <w:szCs w:val="21"/>
          </w:rPr>
          <m:t>P</m:t>
        </m:r>
        <m:r>
          <m:rPr>
            <m:sty m:val="p"/>
          </m:rPr>
          <w:rPr>
            <w:rFonts w:ascii="Cambria Math" w:hAnsi="Cambria Math" w:eastAsia="楷体" w:cs="Times New Roman"/>
            <w:szCs w:val="21"/>
          </w:rPr>
          <m:t>(−3≤</m:t>
        </m:r>
        <m:r>
          <m:rPr/>
          <w:rPr>
            <w:rFonts w:ascii="Cambria Math" w:hAnsi="Cambria Math" w:eastAsia="楷体" w:cs="Times New Roman"/>
            <w:szCs w:val="21"/>
          </w:rPr>
          <m:t>X</m:t>
        </m:r>
        <m:r>
          <m:rPr>
            <m:sty m:val="p"/>
          </m:rPr>
          <w:rPr>
            <w:rFonts w:ascii="Cambria Math" w:hAnsi="Cambria Math" w:eastAsia="楷体" w:cs="Times New Roman"/>
            <w:szCs w:val="21"/>
          </w:rPr>
          <m:t>≤3) =0.9973</m:t>
        </m:r>
      </m:oMath>
      <w:r>
        <w:rPr>
          <w:rFonts w:hint="eastAsia" w:ascii="Times New Roman" w:hAnsi="Times New Roman" w:eastAsia="楷体" w:cs="Times New Roman"/>
          <w:szCs w:val="21"/>
        </w:rPr>
        <w:t>.</w:t>
      </w:r>
      <w:r>
        <w:rPr>
          <w:rFonts w:ascii="Times New Roman" w:hAnsi="Times New Roman" w:eastAsia="楷体" w:cs="Times New Roman"/>
          <w:szCs w:val="21"/>
        </w:rPr>
        <w:t xml:space="preserve"> 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通过窗口左下角的按钮，还可以求变量落在单边区间内的概率，例如</w:t>
      </w:r>
    </w:p>
    <w:p>
      <w:pPr>
        <w:ind w:firstLine="420" w:firstLineChars="200"/>
        <w:rPr>
          <w:rFonts w:hint="eastAsia" w:ascii="Times New Roman" w:hAnsi="Times New Roman" w:eastAsia="楷体" w:cs="Times New Roman"/>
          <w:szCs w:val="21"/>
        </w:rPr>
      </w:pPr>
      <m:oMathPara>
        <m:oMath>
          <m:r>
            <m:rPr/>
            <w:rPr>
              <w:rFonts w:ascii="Cambria Math" w:hAnsi="Cambria Math" w:eastAsia="楷体" w:cs="Times New Roman"/>
              <w:szCs w:val="21"/>
            </w:rPr>
            <m:t>P(X≤1.5)=0.9332.</m:t>
          </m:r>
        </m:oMath>
      </m:oMathPara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请你再选择一些正态分布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N(μ, </m:t>
        </m:r>
        <m:sSup>
          <m:sSupP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SupPr>
          <m:e>
            <m:r>
              <m:rPr/>
              <w:rPr>
                <w:rFonts w:ascii="Cambria Math" w:hAnsi="Cambria Math" w:eastAsia="楷体" w:cs="Times New Roman"/>
                <w:szCs w:val="21"/>
              </w:rPr>
              <m:t>σ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up>
        </m:sSup>
        <m:r>
          <m:rPr/>
          <w:rPr>
            <w:rFonts w:ascii="Cambria Math" w:hAnsi="Cambria Math" w:eastAsia="楷体" w:cs="Times New Roman"/>
            <w:szCs w:val="21"/>
          </w:rPr>
          <m:t>)</m:t>
        </m:r>
      </m:oMath>
      <w:r>
        <w:rPr>
          <w:rFonts w:ascii="Times New Roman" w:hAnsi="Times New Roman" w:eastAsia="楷体" w:cs="Times New Roman"/>
          <w:szCs w:val="21"/>
        </w:rPr>
        <w:t xml:space="preserve">,  分别计算 </w:t>
      </w:r>
      <m:oMath>
        <m:r>
          <m:rPr/>
          <w:rPr>
            <w:rFonts w:ascii="Cambria Math" w:hAnsi="Cambria Math" w:eastAsia="楷体" w:cs="Times New Roman"/>
            <w:szCs w:val="21"/>
          </w:rPr>
          <m:t>P(μ− σ≤X≤μ+ σ), P(μ−2σ≤X≤μ+2σ), P(μ−3σ≤X≤μ+3σ)</m:t>
        </m:r>
      </m:oMath>
      <w:r>
        <w:rPr>
          <w:rFonts w:ascii="Times New Roman" w:hAnsi="Times New Roman" w:eastAsia="楷体" w:cs="Times New Roman"/>
          <w:szCs w:val="21"/>
        </w:rPr>
        <w:t>的值，并总结这些值的规律.</w:t>
      </w:r>
    </w:p>
    <w:p>
      <w:pPr>
        <w:widowControl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br w:type="page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zYmUwZTU0ZjZmOTE4ZDRlMWYyOTkzMTM1ZTYyY2QifQ=="/>
  </w:docVars>
  <w:rsids>
    <w:rsidRoot w:val="00000000"/>
    <w:rsid w:val="5A37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2024-05-28T17:38:28Z</dcterms:created>
  <dc:creator>19785</dc:creator>
  <cp:lastModifiedBy>苏格拉底的麦穗</cp:lastModifiedBy>
  <dcterms:modified xsi:type="dcterms:W3CDTF">2024-05-28T17:38:44Z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3971991F16D5411EB7E9A6A777DEDC94_12</vt:lpwstr>
  </property>
</Properties>
</file>