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mc="http://schemas.openxmlformats.org/markup-compatibility/2006" xmlns:wp="http://schemas.openxmlformats.org/drawingml/2006/wordprocessingDrawing" xmlns:v="urn:schemas-microsoft-com:vml" xmlns:w10="urn:schemas-microsoft-com:office:word">
  <w:body>
    <w:p>
      <w:pPr>
        <w:wordWrap w:val="off"/>
        <w:spacing w:before="0" w:after="0" w:line="300" w:lineRule="atLeast"/>
        <w:ind w:left="1420" w:right="0"/>
        <w:jc w:val="both"/>
        <w:textAlignment w:val="baseline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  <w:strike w:val="off"/>
        </w:rPr>
        <w:t>132 Ⅱ数学之美 第三版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571500</wp:posOffset>
                </wp:positionH>
                <wp:positionV relativeFrom="paragraph">
                  <wp:posOffset>5118100</wp:posOffset>
                </wp:positionV>
                <wp:extent cx="76200" cy="114300"/>
                <wp:wrapNone/>
                <wp:docPr id="1" name="文本框 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  <w:strike w:val="off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5pt;margin-top:403pt;width:6pt;height: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wordWrap w:val="off"/>
                        <w:spacing w:before="0" w:after="0" w:line="180" w:lineRule="atLeast"/>
                        <w:ind w:left="0" w:right="0"/>
                        <w:jc w:val="both"/>
                        <w:textAlignment w:val="baseline"/>
                        <w:rPr>
                          <w:sz w:val="13"/>
                        </w:rPr>
                      </w:pPr>
                      <w:r>
                        <w:rPr>
                          <w:rFonts w:ascii="宋体" w:hAnsi="宋体" w:cs="宋体" w:eastAsia="宋体"/>
                          <w:sz w:val="13"/>
                          <w:color w:val="000000"/>
                          <w:b w:val="off"/>
                          <w:i w:val="off"/>
                          <w:strike w:val="off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571500</wp:posOffset>
                </wp:positionH>
                <wp:positionV relativeFrom="paragraph">
                  <wp:posOffset>5308600</wp:posOffset>
                </wp:positionV>
                <wp:extent cx="1016000" cy="330200"/>
                <wp:wrapNone/>
                <wp:docPr id="2" name="文本框 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160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ff"/>
                                <w:i w:val="off"/>
                                <w:strike w:val="off"/>
                              </w:rPr>
                              <w:t>目前是IBM 华生实</w:t>
                            </w: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ff"/>
                                <w:i w:val="off"/>
                                <w:strike w:val="off"/>
                              </w:rPr>
                              <w:t>验室的科学家。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5pt;margin-top:418pt;width:80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wordWrap w:val="off"/>
                        <w:spacing w:before="0" w:after="0" w:line="260" w:lineRule="atLeast"/>
                        <w:ind w:left="0" w:right="0"/>
                        <w:jc w:val="both"/>
                        <w:textAlignment w:val="baseline"/>
                        <w:rPr>
                          <w:sz w:val="18"/>
                        </w:rPr>
                      </w:pPr>
                      <w:r>
                        <w:rPr>
                          <w:rFonts w:ascii="宋体" w:hAnsi="宋体" w:cs="宋体" w:eastAsia="宋体"/>
                          <w:sz w:val="18"/>
                          <w:color w:val="000000"/>
                          <w:b w:val="off"/>
                          <w:i w:val="off"/>
                          <w:strike w:val="off"/>
                        </w:rPr>
                        <w:t>目前是IBM 华生实</w:t>
                      </w:r>
                      <w:r>
                        <w:rPr>
                          <w:rFonts w:ascii="宋体" w:hAnsi="宋体" w:cs="宋体" w:eastAsia="宋体"/>
                          <w:sz w:val="18"/>
                          <w:color w:val="000000"/>
                          <w:b w:val="off"/>
                          <w:i w:val="off"/>
                          <w:strike w:val="off"/>
                        </w:rPr>
                        <w:t>验室的科学家。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571500</wp:posOffset>
                </wp:positionH>
                <wp:positionV relativeFrom="paragraph">
                  <wp:posOffset>5715000</wp:posOffset>
                </wp:positionV>
                <wp:extent cx="76200" cy="114300"/>
                <wp:wrapNone/>
                <wp:docPr id="3" name="文本框 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  <w:strike w:val="off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5pt;margin-top:450pt;width:6pt;height: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wordWrap w:val="off"/>
                        <w:spacing w:before="0" w:after="0" w:line="180" w:lineRule="atLeast"/>
                        <w:ind w:left="0" w:right="0"/>
                        <w:jc w:val="both"/>
                        <w:textAlignment w:val="baseline"/>
                        <w:rPr>
                          <w:sz w:val="13"/>
                        </w:rPr>
                      </w:pPr>
                      <w:r>
                        <w:rPr>
                          <w:rFonts w:ascii="宋体" w:hAnsi="宋体" w:cs="宋体" w:eastAsia="宋体"/>
                          <w:sz w:val="13"/>
                          <w:color w:val="000000"/>
                          <w:b w:val="off"/>
                          <w:i w:val="off"/>
                          <w:strike w:val="off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558800</wp:posOffset>
                </wp:positionH>
                <wp:positionV relativeFrom="paragraph">
                  <wp:posOffset>5892800</wp:posOffset>
                </wp:positionV>
                <wp:extent cx="1016000" cy="1422400"/>
                <wp:wrapNone/>
                <wp:docPr id="4" name="文本框 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16000" cy="142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0"/>
                                <w:color w:val="000000"/>
                                <w:b w:val="off"/>
                                <w:i w:val="off"/>
                                <w:strike w:val="off"/>
                              </w:rPr>
                              <w:t>Radu Florian and</w:t>
                            </w:r>
                            <w:r>
                              <w:rPr>
                                <w:rFonts w:ascii="宋体" w:hAnsi="宋体" w:cs="宋体" w:eastAsia="宋体"/>
                                <w:sz w:val="20"/>
                                <w:color w:val="000000"/>
                                <w:b w:val="off"/>
                                <w:i w:val="off"/>
                                <w:strike w:val="off"/>
                              </w:rPr>
                              <w:t>David Yarowsky.</w:t>
                            </w:r>
                            <w:r>
                              <w:rPr>
                                <w:rFonts w:ascii="宋体" w:hAnsi="宋体" w:cs="宋体" w:eastAsia="宋体"/>
                                <w:sz w:val="20"/>
                                <w:color w:val="000000"/>
                                <w:b w:val="off"/>
                                <w:i w:val="off"/>
                                <w:strike w:val="off"/>
                              </w:rPr>
                              <w:t xml:space="preserve">Dynamic nonlocal </w:t>
                            </w:r>
                            <w:r>
                              <w:rPr>
                                <w:rFonts w:ascii="宋体" w:hAnsi="宋体" w:cs="宋体" w:eastAsia="宋体"/>
                                <w:sz w:val="20"/>
                                <w:color w:val="000000"/>
                                <w:b w:val="off"/>
                                <w:i w:val="off"/>
                                <w:strike w:val="off"/>
                              </w:rPr>
                              <w:t xml:space="preserve">language modeling </w:t>
                            </w:r>
                            <w:r>
                              <w:rPr>
                                <w:rFonts w:ascii="宋体" w:hAnsi="宋体" w:cs="宋体" w:eastAsia="宋体"/>
                                <w:sz w:val="20"/>
                                <w:color w:val="000000"/>
                                <w:b w:val="off"/>
                                <w:i w:val="off"/>
                                <w:strike w:val="off"/>
                              </w:rPr>
                              <w:t xml:space="preserve">via hierarchical </w:t>
                            </w:r>
                            <w:r>
                              <w:rPr>
                                <w:rFonts w:ascii="宋体" w:hAnsi="宋体" w:cs="宋体" w:eastAsia="宋体"/>
                                <w:sz w:val="20"/>
                                <w:color w:val="000000"/>
                                <w:b w:val="off"/>
                                <w:i w:val="off"/>
                                <w:strike w:val="off"/>
                              </w:rPr>
                              <w:t xml:space="preserve">topic-based </w:t>
                            </w:r>
                            <w:r>
                              <w:rPr>
                                <w:rFonts w:ascii="宋体" w:hAnsi="宋体" w:cs="宋体" w:eastAsia="宋体"/>
                                <w:sz w:val="20"/>
                                <w:color w:val="000000"/>
                                <w:b w:val="off"/>
                                <w:i w:val="off"/>
                                <w:strike w:val="off"/>
                              </w:rPr>
                              <w:t>adaptation, ACL</w:t>
                            </w:r>
                            <w:r>
                              <w:rPr>
                                <w:rFonts w:ascii="宋体" w:hAnsi="宋体" w:cs="宋体" w:eastAsia="宋体"/>
                                <w:sz w:val="20"/>
                                <w:color w:val="000000"/>
                                <w:b w:val="off"/>
                                <w:i w:val="off"/>
                                <w:strike w:val="off"/>
                              </w:rPr>
                              <w:t>1999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4pt;margin-top:464pt;width:80pt;height:11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wordWrap w:val="off"/>
                        <w:spacing w:before="0" w:after="0" w:line="280" w:lineRule="atLeast"/>
                        <w:ind w:left="0" w:right="0"/>
                        <w:jc w:val="both"/>
                        <w:textAlignment w:val="baseline"/>
                        <w:rPr>
                          <w:sz w:val="20"/>
                        </w:rPr>
                      </w:pPr>
                      <w:r>
                        <w:rPr>
                          <w:rFonts w:ascii="宋体" w:hAnsi="宋体" w:cs="宋体" w:eastAsia="宋体"/>
                          <w:sz w:val="20"/>
                          <w:color w:val="000000"/>
                          <w:b w:val="off"/>
                          <w:i w:val="off"/>
                          <w:strike w:val="off"/>
                        </w:rPr>
                        <w:t>Radu Florian and</w:t>
                      </w:r>
                      <w:r>
                        <w:rPr>
                          <w:rFonts w:ascii="宋体" w:hAnsi="宋体" w:cs="宋体" w:eastAsia="宋体"/>
                          <w:sz w:val="20"/>
                          <w:color w:val="000000"/>
                          <w:b w:val="off"/>
                          <w:i w:val="off"/>
                          <w:strike w:val="off"/>
                        </w:rPr>
                        <w:t>David Yarowsky.</w:t>
                      </w:r>
                      <w:r>
                        <w:rPr>
                          <w:rFonts w:ascii="宋体" w:hAnsi="宋体" w:cs="宋体" w:eastAsia="宋体"/>
                          <w:sz w:val="20"/>
                          <w:color w:val="000000"/>
                          <w:b w:val="off"/>
                          <w:i w:val="off"/>
                          <w:strike w:val="off"/>
                        </w:rPr>
                        <w:t xml:space="preserve">Dynamic nonlocal </w:t>
                      </w:r>
                      <w:r>
                        <w:rPr>
                          <w:rFonts w:ascii="宋体" w:hAnsi="宋体" w:cs="宋体" w:eastAsia="宋体"/>
                          <w:sz w:val="20"/>
                          <w:color w:val="000000"/>
                          <w:b w:val="off"/>
                          <w:i w:val="off"/>
                          <w:strike w:val="off"/>
                        </w:rPr>
                        <w:t xml:space="preserve">language modeling </w:t>
                      </w:r>
                      <w:r>
                        <w:rPr>
                          <w:rFonts w:ascii="宋体" w:hAnsi="宋体" w:cs="宋体" w:eastAsia="宋体"/>
                          <w:sz w:val="20"/>
                          <w:color w:val="000000"/>
                          <w:b w:val="off"/>
                          <w:i w:val="off"/>
                          <w:strike w:val="off"/>
                        </w:rPr>
                        <w:t xml:space="preserve">via hierarchical </w:t>
                      </w:r>
                      <w:r>
                        <w:rPr>
                          <w:rFonts w:ascii="宋体" w:hAnsi="宋体" w:cs="宋体" w:eastAsia="宋体"/>
                          <w:sz w:val="20"/>
                          <w:color w:val="000000"/>
                          <w:b w:val="off"/>
                          <w:i w:val="off"/>
                          <w:strike w:val="off"/>
                        </w:rPr>
                        <w:t xml:space="preserve">topic-based </w:t>
                      </w:r>
                      <w:r>
                        <w:rPr>
                          <w:rFonts w:ascii="宋体" w:hAnsi="宋体" w:cs="宋体" w:eastAsia="宋体"/>
                          <w:sz w:val="20"/>
                          <w:color w:val="000000"/>
                          <w:b w:val="off"/>
                          <w:i w:val="off"/>
                          <w:strike w:val="off"/>
                        </w:rPr>
                        <w:t>adaptation, ACL</w:t>
                      </w:r>
                      <w:r>
                        <w:rPr>
                          <w:rFonts w:ascii="宋体" w:hAnsi="宋体" w:cs="宋体" w:eastAsia="宋体"/>
                          <w:sz w:val="20"/>
                          <w:color w:val="000000"/>
                          <w:b w:val="off"/>
                          <w:i w:val="off"/>
                          <w:strike w:val="off"/>
                        </w:rPr>
                        <w:t>1999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ff"/>
        <w:spacing w:before="0" w:after="0" w:line="200" w:lineRule="exact"/>
        <w:ind w:left="0" w:right="0"/>
        <w:jc w:val="both"/>
        <w:textAlignment w:val="baseline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  <w:strike w:val="off"/>
        </w:rPr>
        <w:t/>
      </w:r>
    </w:p>
    <w:p>
      <w:pPr>
        <w:wordWrap w:val="off"/>
        <w:spacing w:before="0" w:after="0" w:line="200" w:lineRule="exact"/>
        <w:ind w:left="0" w:right="0"/>
        <w:jc w:val="both"/>
        <w:textAlignment w:val="baseline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  <w:strike w:val="off"/>
        </w:rPr>
        <w:t/>
      </w:r>
    </w:p>
    <w:p>
      <w:pPr>
        <w:wordWrap w:val="off"/>
        <w:spacing w:before="0" w:after="0" w:line="200" w:lineRule="exact"/>
        <w:ind w:left="0" w:right="0"/>
        <w:jc w:val="both"/>
        <w:textAlignment w:val="baseline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  <w:strike w:val="off"/>
        </w:rPr>
        <w:t/>
      </w:r>
    </w:p>
    <w:p>
      <w:pPr>
        <w:wordWrap w:val="off"/>
        <w:spacing w:before="0" w:after="0" w:line="440" w:lineRule="atLeast"/>
        <w:ind w:left="1840" w:right="140"/>
        <w:jc w:val="both"/>
        <w:textAlignment w:val="baseline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由于向量中的每一个变量都是正数，因此余弦的取值在0和1 之间，也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就是说夹角在0度到90度之间。当两条新闻向量夹角的余弦等于1时，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这两个向量的夹角为零，两条新闻完全相同；当夹角的余弦接近于1时，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两条新闻相似，从而可以归成一类；夹角的余弦越小，夹角越大，两条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新闻越不相关。当两个向量正交时(90度)，夹角的余弦为零，说明两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篇新闻根本没有相同的主题词，它们毫不相关。</w:t>
      </w:r>
    </w:p>
    <w:p>
      <w:pPr>
        <w:wordWrap w:val="off"/>
        <w:spacing w:before="0" w:after="0" w:line="440" w:lineRule="exact"/>
        <w:ind w:left="0" w:right="0"/>
        <w:jc w:val="both"/>
        <w:textAlignment w:val="baseline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/>
      </w:r>
    </w:p>
    <w:p>
      <w:pPr>
        <w:wordWrap w:val="off"/>
        <w:spacing w:before="0" w:after="0" w:line="440" w:lineRule="atLeast"/>
        <w:ind w:left="1840" w:right="120"/>
        <w:jc w:val="both"/>
        <w:textAlignment w:val="baseline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现在把一篇篇文字的新闻变成了按词典顺序组织起来的数字(特征向量)，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又有了计算相似性的公式，就可以在此基础上讨论新闻分类的算法了。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具体的算法分为两种情形。第一种比较简单，假定我们已知一些新闻类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别的特征向量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/>
            <w:sz w:val="26"/>
            <w:szCs w:val="26"/>
          </w:rPr>
          <m:t>,</m:t>
        </m:r>
        <m:sSub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/>
            <w:sz w:val="26"/>
            <w:szCs w:val="26"/>
          </w:rPr>
          <m:t>,</m:t>
        </m:r>
        <m:r>
          <w:rPr>
            <w:rFonts w:ascii="Cambria Math" w:hAnsi="Cambria Math"/>
            <w:sz w:val="26"/>
            <w:szCs w:val="26"/>
          </w:rPr>
          <m:t>⋯</m:t>
        </m:r>
        <m:r>
          <w:rPr>
            <w:rFonts w:ascii="Cambria Math" w:hAnsi="Cambria Math"/>
            <w:sz w:val="26"/>
            <w:szCs w:val="26"/>
          </w:rPr>
          <m:t>,</m:t>
        </m:r>
        <m:sSub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k</m:t>
            </m:r>
          </m:sub>
        </m:sSub>
        <m:r>
          <w:rPr>
            <w:rFonts w:ascii="Cambria Math" w:hAnsi="Cambria Math"/>
            <w:sz w:val="26"/>
            <w:szCs w:val="26"/>
          </w:rPr>
          <m:t>,</m:t>
        </m:r>
      </m:oMath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那么对于任何一个要被分类的新闻Y，很容易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计算出它和各类新闻特征向量的余弦相似性(距离)，并将其归入它该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去的那一类中。至于这些新闻类别的特征向量，既可以手工建立(工作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量非常大而且不准确)，也可以自动建立(以后会介绍)。第二种情形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就比较麻烦了，即如果事先没有这些新闻类别的特征向量怎么办。我在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约翰·霍普金斯大学的同学弗洛里安(</w:t>
      </w:r>
      <w:r>
        <w:t xml:space="preserve"> </w:t>
      </w:r>
      <m:oMath xmlns:m="http://schemas.openxmlformats.org/officeDocument/2006/math" xmlns:mml="http://www.w3.org/1998/Math/MathML">
        <m:d>
          <m:dPr>
            <m:sepChr m:val=","/>
          </m:dPr>
          <m:e>
            <m:r>
              <w:rPr>
                <w:rFonts w:ascii="Cambria Math" w:hAnsi="Cambria Math"/>
                <w:sz w:val="26"/>
                <w:szCs w:val="26"/>
              </w:rPr>
              <m:t>R</m:t>
            </m:r>
            <m:r>
              <w:rPr>
                <w:rFonts w:ascii="Cambria Math" w:hAnsi="Cambria Math"/>
                <w:sz w:val="26"/>
                <w:szCs w:val="26"/>
              </w:rPr>
              <m:t>a</m:t>
            </m:r>
            <m:r>
              <w:rPr>
                <w:rFonts w:ascii="Cambria Math" w:hAnsi="Cambria Math"/>
                <w:sz w:val="26"/>
                <w:szCs w:val="26"/>
              </w:rPr>
              <m:t>d</m:t>
            </m:r>
            <m:r>
              <w:rPr>
                <w:rFonts w:ascii="Cambria Math" w:hAnsi="Cambria Math"/>
                <w:sz w:val="26"/>
                <w:szCs w:val="26"/>
              </w:rPr>
              <m:t>u</m:t>
            </m:r>
            <m:r>
              <w:rPr>
                <w:rFonts w:ascii="Cambria Math" w:hAnsi="Cambria Math"/>
                <w:sz w:val="26"/>
                <w:szCs w:val="26"/>
              </w:rPr>
              <m:t>F</m:t>
            </m:r>
            <m:r>
              <w:rPr>
                <w:rFonts w:ascii="Cambria Math" w:hAnsi="Cambria Math"/>
                <w:sz w:val="26"/>
                <w:szCs w:val="26"/>
              </w:rPr>
              <m:t>l</m:t>
            </m:r>
            <m:r>
              <w:rPr>
                <w:rFonts w:ascii="Cambria Math" w:hAnsi="Cambria Math"/>
                <w:sz w:val="26"/>
                <w:szCs w:val="26"/>
              </w:rPr>
              <m:t>o</m:t>
            </m:r>
            <m:r>
              <w:rPr>
                <w:rFonts w:ascii="Cambria Math" w:hAnsi="Cambria Math"/>
                <w:sz w:val="26"/>
                <w:szCs w:val="26"/>
              </w:rPr>
              <m:t>r</m:t>
            </m:r>
            <m:r>
              <w:rPr>
                <w:rFonts w:ascii="Cambria Math" w:hAnsi="Cambria Math"/>
                <w:sz w:val="26"/>
                <w:szCs w:val="26"/>
              </w:rPr>
              <m:t>i</m:t>
            </m:r>
            <m:r>
              <w:rPr>
                <w:rFonts w:ascii="Cambria Math" w:hAnsi="Cambria Math"/>
                <w:sz w:val="26"/>
                <w:szCs w:val="26"/>
              </w:rPr>
              <m:t>a</m:t>
            </m:r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w:rPr>
            <w:rFonts w:ascii="Cambria Math" w:hAnsi="Cambria Math"/>
            <w:sz w:val="26"/>
            <w:szCs w:val="26"/>
          </w:rPr>
          <m:t>³</m:t>
        </m:r>
      </m:oMath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和教授雅让斯基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给出了一个自底向上不断合并的办法⁴，大致思想如下。</w:t>
      </w:r>
    </w:p>
    <w:p>
      <w:pPr>
        <w:wordWrap w:val="off"/>
        <w:spacing w:before="0" w:after="0" w:line="440" w:lineRule="exact"/>
        <w:ind w:left="0" w:right="0"/>
        <w:jc w:val="both"/>
        <w:textAlignment w:val="baseline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/>
      </w:r>
    </w:p>
    <w:p>
      <w:pPr>
        <w:wordWrap w:val="off"/>
        <w:spacing w:before="0" w:after="0" w:line="440" w:lineRule="atLeast"/>
        <w:ind w:left="2300" w:right="100" w:firstLine="80"/>
        <w:jc w:val="both"/>
        <w:textAlignment w:val="baseline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1.计算所有新闻之间两两的余弦相似性，把相似性大于一个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阈值的新闻合并成一个小类(Subclass) 。这样N篇新闻就被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合并成N₁个小类，当然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6"/>
            <w:szCs w:val="26"/>
          </w:rPr>
          <m:t>N</m:t>
        </m:r>
        <m:r>
          <w:rPr>
            <w:rFonts w:ascii="Cambria Math" w:hAnsi="Cambria Math"/>
            <w:sz w:val="26"/>
            <w:szCs w:val="26"/>
          </w:rPr>
          <m:t>₁</m:t>
        </m:r>
        <m:r>
          <w:rPr>
            <w:rFonts w:ascii="Cambria Math" w:hAnsi="Cambria Math"/>
            <w:sz w:val="26"/>
            <w:szCs w:val="26"/>
          </w:rPr>
          <m:t>&lt;</m:t>
        </m:r>
        <m:r>
          <w:rPr>
            <w:rFonts w:ascii="Cambria Math" w:hAnsi="Cambria Math"/>
            <w:sz w:val="26"/>
            <w:szCs w:val="26"/>
          </w:rPr>
          <m:t>N</m:t>
        </m:r>
        <m:r>
          <w:rPr>
            <w:rFonts w:ascii="Cambria Math" w:hAnsi="Cambria Math"/>
            <w:sz w:val="26"/>
            <w:szCs w:val="26"/>
          </w:rPr>
          <m:t>。</m:t>
        </m:r>
      </m:oMath>
    </w:p>
    <w:p>
      <w:pPr>
        <w:wordWrap w:val="off"/>
        <w:spacing w:before="280" w:after="0" w:line="440" w:lineRule="atLeast"/>
        <w:ind w:left="2300" w:right="80" w:firstLine="80"/>
        <w:jc w:val="both"/>
        <w:textAlignment w:val="baseline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2.把每个小类中所有的新闻作为一个整体，计算小类的特征向量，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再计算小类之间两两的余弦相似性，然后合并成大一点的小类，假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如有N₂个，当然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6"/>
            <w:szCs w:val="26"/>
          </w:rPr>
          <m:t>N</m:t>
        </m:r>
        <m:r>
          <w:rPr>
            <w:rFonts w:ascii="Cambria Math" w:hAnsi="Cambria Math"/>
            <w:sz w:val="26"/>
            <w:szCs w:val="26"/>
          </w:rPr>
          <m:t>₂</m:t>
        </m:r>
        <m:r>
          <w:rPr>
            <w:rFonts w:ascii="Cambria Math" w:hAnsi="Cambria Math"/>
            <w:sz w:val="26"/>
            <w:szCs w:val="26"/>
          </w:rPr>
          <m:t>&lt;</m:t>
        </m:r>
        <m:r>
          <w:rPr>
            <w:rFonts w:ascii="Cambria Math" w:hAnsi="Cambria Math"/>
            <w:sz w:val="26"/>
            <w:szCs w:val="26"/>
          </w:rPr>
          <m:t>N</m:t>
        </m:r>
        <m:r>
          <w:rPr>
            <w:rFonts w:ascii="Cambria Math" w:hAnsi="Cambria Math"/>
            <w:sz w:val="26"/>
            <w:szCs w:val="26"/>
          </w:rPr>
          <m:t>₁</m:t>
        </m:r>
        <m:r>
          <w:rPr>
            <w:rFonts w:ascii="Cambria Math" w:hAnsi="Cambria Math"/>
            <w:sz w:val="26"/>
            <w:szCs w:val="26"/>
          </w:rPr>
          <m:t>。</m:t>
        </m:r>
      </m:oMath>
    </w:p>
    <w:p>
      <w:pPr>
        <w:wordWrap w:val="off"/>
        <w:spacing w:before="200" w:after="0" w:line="440" w:lineRule="atLeast"/>
        <w:ind w:left="1840" w:right="0"/>
        <w:jc w:val="both"/>
        <w:textAlignment w:val="baseline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这样不断做下去，类别越来越少，而每个类越来越大。当某一类太大时，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这一类里一些新闻之间的相似性就很小了，这时就要停止上述迭代的过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程了。至此，自动分类完成。图14.4是弗洛里安给出的一个真实的文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本分类迭代和聚合的过程，图中左边的每一个点都代表一篇文章，因为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数量太多，密密麻麻地连成了一片。每一次迭代，子类数量就不断减少，</w:t>
      </w:r>
    </w:p>
    <w:sectPr>
      <w:pgSz w:w="11900" w:h="16820"/>
      <w:pgMar w:left="880" w:top="940" w:right="880" w:bottom="940" w:header="720" w:footer="720"/>
      <w:cols w:num="1"/>
    </w:sectPr>
  </w:body>
</w:document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2024-05-10T03:12:53Z</dcterms:created>
  <dc:creator>Apache POI</dc:creator>
</cp:coreProperties>
</file>