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D85" w:rsidRDefault="00D50D85" w:rsidP="00D50D85">
      <w:pPr>
        <w:jc w:val="center"/>
        <w:rPr>
          <w:rFonts w:ascii="Georgia" w:hAnsi="Georgia" w:cs="Arial"/>
          <w:b/>
          <w:lang w:val="es-MX"/>
        </w:rPr>
      </w:pPr>
      <w:r w:rsidRPr="001805B5">
        <w:rPr>
          <w:rFonts w:ascii="Georgia" w:hAnsi="Georgia" w:cs="Arial"/>
          <w:b/>
          <w:lang w:val="es-MX"/>
        </w:rPr>
        <w:t xml:space="preserve">TERMINOS DE REFERENCIA </w:t>
      </w:r>
    </w:p>
    <w:p w:rsidR="0018547A" w:rsidRPr="001805B5" w:rsidRDefault="0018547A" w:rsidP="00D50D85">
      <w:pPr>
        <w:jc w:val="center"/>
        <w:rPr>
          <w:rFonts w:ascii="Georgia" w:hAnsi="Georgia" w:cs="Arial"/>
          <w:b/>
          <w:lang w:val="es-MX"/>
        </w:rPr>
      </w:pPr>
      <w:r w:rsidRPr="001805B5">
        <w:rPr>
          <w:rFonts w:ascii="Georgia" w:hAnsi="Georgia" w:cs="Arial"/>
          <w:b/>
          <w:lang w:val="es-MX"/>
        </w:rPr>
        <w:t xml:space="preserve">Asistencia técnica para </w:t>
      </w:r>
      <w:r w:rsidR="00756C10">
        <w:rPr>
          <w:rFonts w:ascii="Georgia" w:hAnsi="Georgia" w:cs="Arial"/>
          <w:b/>
          <w:lang w:val="es-MX"/>
        </w:rPr>
        <w:t>la</w:t>
      </w:r>
      <w:r w:rsidRPr="001805B5">
        <w:rPr>
          <w:rFonts w:ascii="Georgia" w:hAnsi="Georgia" w:cs="Arial"/>
          <w:b/>
          <w:lang w:val="es-MX"/>
        </w:rPr>
        <w:t xml:space="preserve"> </w:t>
      </w:r>
      <w:r w:rsidRPr="00D50D85">
        <w:rPr>
          <w:rFonts w:ascii="Georgia" w:hAnsi="Georgia" w:cs="Arial"/>
          <w:b/>
          <w:lang w:val="es-MX"/>
        </w:rPr>
        <w:t>elaboración de informe</w:t>
      </w:r>
      <w:r w:rsidR="00756C10">
        <w:rPr>
          <w:rFonts w:ascii="Georgia" w:hAnsi="Georgia" w:cs="Arial"/>
          <w:b/>
          <w:lang w:val="es-MX"/>
        </w:rPr>
        <w:t>s</w:t>
      </w:r>
      <w:r w:rsidRPr="00D50D85">
        <w:rPr>
          <w:rFonts w:ascii="Georgia" w:hAnsi="Georgia" w:cs="Arial"/>
          <w:b/>
          <w:lang w:val="es-MX"/>
        </w:rPr>
        <w:t xml:space="preserve"> solicitado por el </w:t>
      </w:r>
      <w:r>
        <w:rPr>
          <w:rFonts w:ascii="Georgia" w:hAnsi="Georgia" w:cs="Arial"/>
          <w:b/>
          <w:lang w:val="es-MX"/>
        </w:rPr>
        <w:t>Ministerio de Relaciones Exteriores para la Renovación del A</w:t>
      </w:r>
      <w:r w:rsidRPr="00D50D85">
        <w:rPr>
          <w:rFonts w:ascii="Georgia" w:hAnsi="Georgia" w:cs="Arial"/>
          <w:b/>
          <w:lang w:val="es-MX"/>
        </w:rPr>
        <w:t xml:space="preserve">cuerdo </w:t>
      </w:r>
      <w:r>
        <w:rPr>
          <w:rFonts w:ascii="Georgia" w:hAnsi="Georgia" w:cs="Arial"/>
          <w:b/>
          <w:lang w:val="es-MX"/>
        </w:rPr>
        <w:t>Marco de cooperación de “W</w:t>
      </w:r>
      <w:r w:rsidRPr="00D50D85">
        <w:rPr>
          <w:rFonts w:ascii="Georgia" w:hAnsi="Georgia" w:cs="Arial"/>
          <w:b/>
          <w:lang w:val="es-MX"/>
        </w:rPr>
        <w:t xml:space="preserve">e </w:t>
      </w:r>
      <w:r>
        <w:rPr>
          <w:rFonts w:ascii="Georgia" w:hAnsi="Georgia" w:cs="Arial"/>
          <w:b/>
          <w:lang w:val="es-MX"/>
        </w:rPr>
        <w:t>E</w:t>
      </w:r>
      <w:r w:rsidRPr="00D50D85">
        <w:rPr>
          <w:rFonts w:ascii="Georgia" w:hAnsi="Georgia" w:cs="Arial"/>
          <w:b/>
          <w:lang w:val="es-MX"/>
        </w:rPr>
        <w:t xml:space="preserve">ffect” con el  </w:t>
      </w:r>
      <w:r>
        <w:rPr>
          <w:rFonts w:ascii="Georgia" w:hAnsi="Georgia" w:cs="Arial"/>
          <w:b/>
          <w:lang w:val="es-MX"/>
        </w:rPr>
        <w:t>E</w:t>
      </w:r>
      <w:r w:rsidRPr="00D50D85">
        <w:rPr>
          <w:rFonts w:ascii="Georgia" w:hAnsi="Georgia" w:cs="Arial"/>
          <w:b/>
          <w:lang w:val="es-MX"/>
        </w:rPr>
        <w:t xml:space="preserve">stado </w:t>
      </w:r>
      <w:r>
        <w:rPr>
          <w:rFonts w:ascii="Georgia" w:hAnsi="Georgia" w:cs="Arial"/>
          <w:b/>
          <w:lang w:val="es-MX"/>
        </w:rPr>
        <w:t>Plurinacional de B</w:t>
      </w:r>
      <w:r w:rsidRPr="00D50D85">
        <w:rPr>
          <w:rFonts w:ascii="Georgia" w:hAnsi="Georgia" w:cs="Arial"/>
          <w:b/>
          <w:lang w:val="es-MX"/>
        </w:rPr>
        <w:t>olivia</w:t>
      </w:r>
    </w:p>
    <w:tbl>
      <w:tblPr>
        <w:tblStyle w:val="Tablaconcuadrcula"/>
        <w:tblpPr w:leftFromText="141" w:rightFromText="141" w:vertAnchor="text" w:tblpX="-431" w:tblpY="1"/>
        <w:tblOverlap w:val="never"/>
        <w:tblW w:w="9209" w:type="dxa"/>
        <w:tblLayout w:type="fixed"/>
        <w:tblLook w:val="04A0" w:firstRow="1" w:lastRow="0" w:firstColumn="1" w:lastColumn="0" w:noHBand="0" w:noVBand="1"/>
      </w:tblPr>
      <w:tblGrid>
        <w:gridCol w:w="9209"/>
      </w:tblGrid>
      <w:tr w:rsidR="00D50D85" w:rsidTr="0018547A">
        <w:tc>
          <w:tcPr>
            <w:tcW w:w="9209" w:type="dxa"/>
            <w:tcBorders>
              <w:bottom w:val="single" w:sz="4" w:space="0" w:color="auto"/>
            </w:tcBorders>
            <w:shd w:val="clear" w:color="auto" w:fill="FFF3E8"/>
            <w:vAlign w:val="center"/>
          </w:tcPr>
          <w:p w:rsidR="00D50D85" w:rsidRPr="0018547A" w:rsidRDefault="0018547A" w:rsidP="0018547A">
            <w:pPr>
              <w:contextualSpacing/>
              <w:jc w:val="both"/>
              <w:rPr>
                <w:rFonts w:ascii="Arial" w:eastAsia="Times New Roman" w:hAnsi="Arial" w:cs="Arial"/>
                <w:b/>
                <w:sz w:val="24"/>
                <w:szCs w:val="24"/>
                <w:lang w:val="es-ES_tradnl" w:eastAsia="es-ES"/>
              </w:rPr>
            </w:pPr>
            <w:r>
              <w:rPr>
                <w:rFonts w:ascii="Georgia" w:hAnsi="Georgia" w:cs="Arial"/>
                <w:b/>
                <w:lang w:val="es-MX"/>
              </w:rPr>
              <w:t xml:space="preserve">I Antecedentes We Effect </w:t>
            </w:r>
            <w:r>
              <w:rPr>
                <w:rFonts w:ascii="Arial" w:eastAsia="Times New Roman" w:hAnsi="Arial" w:cs="Arial"/>
                <w:b/>
                <w:sz w:val="24"/>
                <w:szCs w:val="24"/>
                <w:lang w:val="es-ES_tradnl" w:eastAsia="es-ES"/>
              </w:rPr>
              <w:t xml:space="preserve"> </w:t>
            </w:r>
          </w:p>
        </w:tc>
      </w:tr>
      <w:tr w:rsidR="00D50D85" w:rsidTr="0018547A">
        <w:tc>
          <w:tcPr>
            <w:tcW w:w="9209" w:type="dxa"/>
            <w:tcBorders>
              <w:top w:val="single" w:sz="4" w:space="0" w:color="auto"/>
            </w:tcBorders>
          </w:tcPr>
          <w:p w:rsidR="00D50D85" w:rsidRDefault="00D50D85" w:rsidP="00084BCA">
            <w:pPr>
              <w:contextualSpacing/>
              <w:jc w:val="both"/>
              <w:rPr>
                <w:rFonts w:ascii="Arial" w:eastAsia="Times New Roman" w:hAnsi="Arial" w:cs="Arial"/>
                <w:b/>
                <w:sz w:val="24"/>
                <w:szCs w:val="24"/>
                <w:lang w:val="es-ES_tradnl" w:eastAsia="es-ES"/>
              </w:rPr>
            </w:pPr>
          </w:p>
          <w:p w:rsidR="00D50D85" w:rsidRDefault="00D50D85" w:rsidP="00084BCA">
            <w:pPr>
              <w:contextualSpacing/>
              <w:jc w:val="both"/>
              <w:rPr>
                <w:rFonts w:ascii="Georgia" w:hAnsi="Georgia" w:cs="Arial"/>
                <w:lang w:val="es-MX"/>
              </w:rPr>
            </w:pPr>
            <w:r>
              <w:rPr>
                <w:rFonts w:ascii="Georgia" w:hAnsi="Georgia" w:cs="Arial"/>
                <w:lang w:val="es-MX"/>
              </w:rPr>
              <w:t>We Effect es una</w:t>
            </w:r>
            <w:r w:rsidRPr="00243861">
              <w:rPr>
                <w:rFonts w:ascii="Georgia" w:hAnsi="Georgia" w:cs="Arial"/>
                <w:lang w:val="es-MX"/>
              </w:rPr>
              <w:t xml:space="preserve"> organización</w:t>
            </w:r>
            <w:r>
              <w:rPr>
                <w:rFonts w:ascii="Georgia" w:hAnsi="Georgia" w:cs="Arial"/>
                <w:lang w:val="es-MX"/>
              </w:rPr>
              <w:t xml:space="preserve"> sueca de cooperación internacional con 60 años de experiencia apoyando el trabajo de</w:t>
            </w:r>
            <w:r w:rsidRPr="00243861">
              <w:rPr>
                <w:rFonts w:ascii="Georgia" w:hAnsi="Georgia" w:cs="Arial"/>
                <w:lang w:val="es-MX"/>
              </w:rPr>
              <w:t xml:space="preserve"> organizaciones </w:t>
            </w:r>
            <w:r>
              <w:rPr>
                <w:rFonts w:ascii="Georgia" w:hAnsi="Georgia" w:cs="Arial"/>
                <w:lang w:val="es-MX"/>
              </w:rPr>
              <w:t>y movimientos sociales en 25</w:t>
            </w:r>
            <w:r w:rsidRPr="00243861">
              <w:rPr>
                <w:rFonts w:ascii="Georgia" w:hAnsi="Georgia" w:cs="Arial"/>
                <w:lang w:val="es-MX"/>
              </w:rPr>
              <w:t xml:space="preserve"> países en África, Asia, </w:t>
            </w:r>
            <w:r>
              <w:rPr>
                <w:rFonts w:ascii="Georgia" w:hAnsi="Georgia" w:cs="Arial"/>
                <w:lang w:val="es-MX"/>
              </w:rPr>
              <w:t>Europa</w:t>
            </w:r>
            <w:r w:rsidRPr="00243861">
              <w:rPr>
                <w:rFonts w:ascii="Georgia" w:hAnsi="Georgia" w:cs="Arial"/>
                <w:lang w:val="es-MX"/>
              </w:rPr>
              <w:t xml:space="preserve"> y América Latina. We Effect apoya a grupos organizados de los sectores populares con herramientas para luchar contra la pobreza y la injusticia en base a su propio esfuerzo</w:t>
            </w:r>
            <w:r>
              <w:rPr>
                <w:rFonts w:ascii="Georgia" w:hAnsi="Georgia" w:cs="Arial"/>
                <w:lang w:val="es-MX"/>
              </w:rPr>
              <w:t xml:space="preserve"> y su trabajo se centra en fortalecer la capacidad de organizaciones democráticas y de membresía para posibilitar que mujeres y hombres de escasos recursos puedan mejorar sus condiciones de vida, defender sus derechos y contribuir a una sociedad justa</w:t>
            </w:r>
            <w:r w:rsidRPr="00243861">
              <w:rPr>
                <w:rFonts w:ascii="Georgia" w:hAnsi="Georgia" w:cs="Arial"/>
                <w:lang w:val="es-MX"/>
              </w:rPr>
              <w:t xml:space="preserve">. </w:t>
            </w:r>
          </w:p>
          <w:p w:rsidR="00D50D85" w:rsidRDefault="00D50D85" w:rsidP="00084BCA">
            <w:pPr>
              <w:contextualSpacing/>
              <w:jc w:val="both"/>
              <w:rPr>
                <w:rFonts w:ascii="Georgia" w:hAnsi="Georgia" w:cs="Arial"/>
                <w:lang w:val="es-MX"/>
              </w:rPr>
            </w:pPr>
          </w:p>
          <w:p w:rsidR="00D50D85" w:rsidRDefault="00D50D85" w:rsidP="00084BCA">
            <w:pPr>
              <w:contextualSpacing/>
              <w:jc w:val="both"/>
              <w:rPr>
                <w:rFonts w:ascii="Georgia" w:hAnsi="Georgia" w:cs="Arial"/>
                <w:lang w:val="es-MX"/>
              </w:rPr>
            </w:pPr>
            <w:r w:rsidRPr="00243861">
              <w:rPr>
                <w:rFonts w:ascii="Georgia" w:hAnsi="Georgia" w:cs="Arial"/>
                <w:lang w:val="es-MX"/>
              </w:rPr>
              <w:t>El apoyo está dirigido principalmente a organizaciones de</w:t>
            </w:r>
            <w:r>
              <w:rPr>
                <w:rFonts w:ascii="Georgia" w:hAnsi="Georgia" w:cs="Arial"/>
                <w:lang w:val="es-MX"/>
              </w:rPr>
              <w:t xml:space="preserve"> base y de articulación del movimiento cooperativo, de mujeres, campesinos, indígenas y del sector de la economía social, basando el trabajo en dos programas temáticos temáticas principales: a) Programa de Desarrollo Rural, Sembrando Igualdad y b) Vivienda y Hábitat. Los programas y el trabajo de We Effect toman como ejes principales el enfoque basado en derechos y la promoción de garantías fundamentales como el derecho a la tierra y el territorio, derecho a la alimentación, derecho a la justicia económica, derecho a una vivienda digna, iguales derechos para las mujeres y el derecho a un medioambiente seguro y sano en equilibrio ecológico.</w:t>
            </w:r>
          </w:p>
          <w:p w:rsidR="00D50D85" w:rsidRDefault="00D50D85" w:rsidP="00084BCA">
            <w:pPr>
              <w:contextualSpacing/>
              <w:jc w:val="both"/>
              <w:rPr>
                <w:rFonts w:ascii="Georgia" w:hAnsi="Georgia" w:cs="Arial"/>
                <w:lang w:val="es-MX"/>
              </w:rPr>
            </w:pPr>
          </w:p>
          <w:p w:rsidR="00D50D85" w:rsidRDefault="00D50D85" w:rsidP="00084BCA">
            <w:pPr>
              <w:contextualSpacing/>
              <w:jc w:val="both"/>
              <w:rPr>
                <w:rFonts w:ascii="Georgia" w:hAnsi="Georgia" w:cs="Arial"/>
                <w:lang w:val="es-MX"/>
              </w:rPr>
            </w:pPr>
            <w:r>
              <w:rPr>
                <w:rFonts w:ascii="Georgia" w:hAnsi="Georgia" w:cs="Arial"/>
                <w:lang w:val="es-MX"/>
              </w:rPr>
              <w:t xml:space="preserve">En 2018, We Effect ha iniciado un nuevo ciclo programático de cooperación de cinco años de duración en siete países de América Latina (Guatemala, Honduras, El Salvador, Nicaragua, Bolivia, Paraguay y Colombia), facilitando recursos, acompañamiento político y asistencia técnica a alrededor de 50 contrapartes en ambos programas en los países antes descritos. </w:t>
            </w:r>
          </w:p>
          <w:p w:rsidR="00D50D85" w:rsidRDefault="00D50D85" w:rsidP="00084BCA">
            <w:pPr>
              <w:contextualSpacing/>
              <w:jc w:val="both"/>
              <w:rPr>
                <w:rFonts w:ascii="Georgia" w:hAnsi="Georgia" w:cs="Arial"/>
                <w:lang w:val="es-MX"/>
              </w:rPr>
            </w:pPr>
          </w:p>
          <w:p w:rsidR="00693E65" w:rsidRDefault="00D50D85" w:rsidP="00084BCA">
            <w:pPr>
              <w:contextualSpacing/>
              <w:jc w:val="both"/>
              <w:rPr>
                <w:rFonts w:ascii="Georgia" w:hAnsi="Georgia" w:cs="Arial"/>
                <w:lang w:val="es-MX"/>
              </w:rPr>
            </w:pPr>
            <w:r>
              <w:rPr>
                <w:rFonts w:ascii="Georgia" w:hAnsi="Georgia" w:cs="Arial"/>
                <w:lang w:val="es-MX"/>
              </w:rPr>
              <w:t xml:space="preserve">El inicio del nuevo ciclo programático y su gestión establece otras tareas, </w:t>
            </w:r>
            <w:r w:rsidR="00693E65">
              <w:rPr>
                <w:rFonts w:ascii="Georgia" w:hAnsi="Georgia" w:cs="Arial"/>
                <w:lang w:val="es-MX"/>
              </w:rPr>
              <w:t>entre ellas la de establecer un Acuerdo Marco de Cooperación Básica (AMCB) con el Estado Plurinacional de Bolivia, el cual viene siendo gestionado desde el anterior período programático, pero que no ha logrado concretarse debido a la alta movilidad institucional al interior del Ministerio de Relaciones Exteriores</w:t>
            </w:r>
            <w:r w:rsidR="00C06B9C">
              <w:rPr>
                <w:rFonts w:ascii="Georgia" w:hAnsi="Georgia" w:cs="Arial"/>
                <w:lang w:val="es-MX"/>
              </w:rPr>
              <w:t xml:space="preserve"> (MRE)</w:t>
            </w:r>
            <w:r w:rsidR="00693E65">
              <w:rPr>
                <w:rFonts w:ascii="Georgia" w:hAnsi="Georgia" w:cs="Arial"/>
                <w:lang w:val="es-MX"/>
              </w:rPr>
              <w:t>.</w:t>
            </w:r>
          </w:p>
          <w:p w:rsidR="00693E65" w:rsidRDefault="00693E65" w:rsidP="00084BCA">
            <w:pPr>
              <w:contextualSpacing/>
              <w:jc w:val="both"/>
              <w:rPr>
                <w:rFonts w:ascii="Georgia" w:hAnsi="Georgia" w:cs="Arial"/>
                <w:lang w:val="es-MX"/>
              </w:rPr>
            </w:pPr>
          </w:p>
          <w:p w:rsidR="00D50D85" w:rsidRDefault="00693E65" w:rsidP="00084BCA">
            <w:pPr>
              <w:contextualSpacing/>
              <w:jc w:val="both"/>
              <w:rPr>
                <w:rFonts w:ascii="Georgia" w:hAnsi="Georgia" w:cs="Arial"/>
                <w:lang w:val="es-MX"/>
              </w:rPr>
            </w:pPr>
            <w:r>
              <w:rPr>
                <w:rFonts w:ascii="Georgia" w:hAnsi="Georgia" w:cs="Arial"/>
                <w:lang w:val="es-MX"/>
              </w:rPr>
              <w:t>Para la presente gestión se tiene ya establecidos criterios desde el Ministerio que permitirán seguir avanzando en la gestión del Acuerdo Marco de Cooperación Básica, como también en el cumplimiento de compromisos asumidos anualmente.</w:t>
            </w:r>
          </w:p>
          <w:p w:rsidR="00693E65" w:rsidRDefault="00693E65" w:rsidP="00084BCA">
            <w:pPr>
              <w:contextualSpacing/>
              <w:jc w:val="both"/>
              <w:rPr>
                <w:rFonts w:ascii="Georgia" w:hAnsi="Georgia" w:cs="Arial"/>
                <w:lang w:val="es-MX"/>
              </w:rPr>
            </w:pPr>
          </w:p>
          <w:p w:rsidR="00D50D85" w:rsidRDefault="00D50D85" w:rsidP="00C06B9C">
            <w:pPr>
              <w:jc w:val="both"/>
              <w:rPr>
                <w:rFonts w:ascii="Georgia" w:hAnsi="Georgia" w:cs="Arial"/>
                <w:lang w:val="es-MX"/>
              </w:rPr>
            </w:pPr>
            <w:r>
              <w:rPr>
                <w:rFonts w:ascii="Georgia" w:hAnsi="Georgia" w:cs="Arial"/>
                <w:lang w:val="es-MX"/>
              </w:rPr>
              <w:t>Con base a esto, se presenta la presente propuesta a We Effect par</w:t>
            </w:r>
            <w:r w:rsidR="00693E65">
              <w:rPr>
                <w:rFonts w:ascii="Georgia" w:hAnsi="Georgia" w:cs="Arial"/>
                <w:lang w:val="es-MX"/>
              </w:rPr>
              <w:t xml:space="preserve">a la prestación de servicios para apoyar en la revisión, sistematización, análisis y redacción de los informes y documentos solicitados desde </w:t>
            </w:r>
            <w:r w:rsidR="00C06B9C">
              <w:rPr>
                <w:rFonts w:ascii="Georgia" w:hAnsi="Georgia" w:cs="Arial"/>
                <w:lang w:val="es-MX"/>
              </w:rPr>
              <w:t xml:space="preserve">el MRE </w:t>
            </w:r>
            <w:r>
              <w:rPr>
                <w:rFonts w:ascii="Georgia" w:hAnsi="Georgia" w:cs="Arial"/>
                <w:lang w:val="es-MX"/>
              </w:rPr>
              <w:t>dura</w:t>
            </w:r>
            <w:r w:rsidR="0018547A">
              <w:rPr>
                <w:rFonts w:ascii="Georgia" w:hAnsi="Georgia" w:cs="Arial"/>
                <w:lang w:val="es-MX"/>
              </w:rPr>
              <w:t xml:space="preserve">nte </w:t>
            </w:r>
            <w:r w:rsidR="00C06B9C">
              <w:rPr>
                <w:rFonts w:ascii="Georgia" w:hAnsi="Georgia" w:cs="Arial"/>
                <w:lang w:val="es-MX"/>
              </w:rPr>
              <w:t>dos meses</w:t>
            </w:r>
            <w:r w:rsidR="0018547A">
              <w:rPr>
                <w:rFonts w:ascii="Georgia" w:hAnsi="Georgia" w:cs="Arial"/>
                <w:lang w:val="es-MX"/>
              </w:rPr>
              <w:t xml:space="preserve"> en  Bolivia.</w:t>
            </w:r>
          </w:p>
          <w:p w:rsidR="00756C10" w:rsidRPr="0018547A" w:rsidRDefault="00756C10" w:rsidP="00C06B9C">
            <w:pPr>
              <w:jc w:val="both"/>
              <w:rPr>
                <w:rFonts w:ascii="Georgia" w:hAnsi="Georgia" w:cs="Arial"/>
                <w:lang w:val="es-MX"/>
              </w:rPr>
            </w:pPr>
          </w:p>
        </w:tc>
      </w:tr>
    </w:tbl>
    <w:tbl>
      <w:tblPr>
        <w:tblStyle w:val="Tablaconcuadrcula"/>
        <w:tblW w:w="9215" w:type="dxa"/>
        <w:tblInd w:w="-441" w:type="dxa"/>
        <w:tblLook w:val="04A0" w:firstRow="1" w:lastRow="0" w:firstColumn="1" w:lastColumn="0" w:noHBand="0" w:noVBand="1"/>
      </w:tblPr>
      <w:tblGrid>
        <w:gridCol w:w="727"/>
        <w:gridCol w:w="1557"/>
        <w:gridCol w:w="6931"/>
      </w:tblGrid>
      <w:tr w:rsidR="00D50D85" w:rsidTr="00756C10">
        <w:tc>
          <w:tcPr>
            <w:tcW w:w="727" w:type="dxa"/>
            <w:tcBorders>
              <w:top w:val="single" w:sz="12" w:space="0" w:color="auto"/>
              <w:left w:val="single" w:sz="12" w:space="0" w:color="auto"/>
              <w:bottom w:val="single" w:sz="12" w:space="0" w:color="auto"/>
              <w:right w:val="single" w:sz="4" w:space="0" w:color="auto"/>
            </w:tcBorders>
            <w:shd w:val="clear" w:color="auto" w:fill="FFF3E8"/>
          </w:tcPr>
          <w:p w:rsidR="00D50D85" w:rsidRDefault="00D50D85" w:rsidP="00084BCA">
            <w:pPr>
              <w:jc w:val="center"/>
              <w:rPr>
                <w:rFonts w:ascii="Georgia" w:hAnsi="Georgia" w:cs="Arial"/>
                <w:b/>
                <w:lang w:val="es-MX"/>
              </w:rPr>
            </w:pPr>
            <w:r>
              <w:rPr>
                <w:rFonts w:ascii="Georgia" w:hAnsi="Georgia" w:cs="Arial"/>
                <w:b/>
                <w:lang w:val="es-MX"/>
              </w:rPr>
              <w:lastRenderedPageBreak/>
              <w:t>II</w:t>
            </w:r>
          </w:p>
        </w:tc>
        <w:tc>
          <w:tcPr>
            <w:tcW w:w="8488" w:type="dxa"/>
            <w:gridSpan w:val="2"/>
            <w:tcBorders>
              <w:top w:val="single" w:sz="12" w:space="0" w:color="auto"/>
              <w:left w:val="single" w:sz="4" w:space="0" w:color="auto"/>
              <w:bottom w:val="single" w:sz="12" w:space="0" w:color="auto"/>
              <w:right w:val="single" w:sz="12" w:space="0" w:color="auto"/>
            </w:tcBorders>
            <w:shd w:val="clear" w:color="auto" w:fill="FFF3E8"/>
          </w:tcPr>
          <w:p w:rsidR="00D50D85" w:rsidRDefault="00D50D85" w:rsidP="00084BCA">
            <w:pPr>
              <w:jc w:val="both"/>
              <w:rPr>
                <w:rFonts w:ascii="Georgia" w:hAnsi="Georgia" w:cs="Arial"/>
                <w:b/>
                <w:lang w:val="es-MX"/>
              </w:rPr>
            </w:pPr>
            <w:r>
              <w:rPr>
                <w:rFonts w:ascii="Georgia" w:hAnsi="Georgia" w:cs="Arial"/>
                <w:b/>
                <w:lang w:val="es-MX"/>
              </w:rPr>
              <w:t>Descripción y condiciones para la contratación</w:t>
            </w:r>
          </w:p>
        </w:tc>
      </w:tr>
      <w:tr w:rsidR="00D50D85" w:rsidTr="00756C10">
        <w:tc>
          <w:tcPr>
            <w:tcW w:w="2284" w:type="dxa"/>
            <w:gridSpan w:val="2"/>
            <w:tcBorders>
              <w:top w:val="nil"/>
              <w:left w:val="nil"/>
              <w:bottom w:val="single" w:sz="12" w:space="0" w:color="auto"/>
              <w:right w:val="nil"/>
            </w:tcBorders>
            <w:vAlign w:val="center"/>
          </w:tcPr>
          <w:p w:rsidR="00D50D85" w:rsidRPr="005A60AD" w:rsidRDefault="00D50D85" w:rsidP="00084BCA">
            <w:pPr>
              <w:jc w:val="both"/>
              <w:rPr>
                <w:rFonts w:ascii="Georgia" w:hAnsi="Georgia" w:cs="Arial"/>
                <w:b/>
                <w:sz w:val="12"/>
                <w:szCs w:val="12"/>
                <w:lang w:val="es-MX"/>
              </w:rPr>
            </w:pPr>
          </w:p>
        </w:tc>
        <w:tc>
          <w:tcPr>
            <w:tcW w:w="6931" w:type="dxa"/>
            <w:tcBorders>
              <w:top w:val="nil"/>
              <w:left w:val="nil"/>
              <w:bottom w:val="single" w:sz="12" w:space="0" w:color="auto"/>
              <w:right w:val="nil"/>
            </w:tcBorders>
            <w:vAlign w:val="center"/>
          </w:tcPr>
          <w:p w:rsidR="00693E65" w:rsidRPr="005A60AD" w:rsidRDefault="00693E65" w:rsidP="00084BCA">
            <w:pPr>
              <w:jc w:val="both"/>
              <w:rPr>
                <w:rFonts w:ascii="Georgia" w:hAnsi="Georgia" w:cs="Arial"/>
                <w:b/>
                <w:sz w:val="12"/>
                <w:szCs w:val="12"/>
                <w:lang w:val="es-MX"/>
              </w:rPr>
            </w:pPr>
          </w:p>
        </w:tc>
      </w:tr>
      <w:tr w:rsidR="00D50D85" w:rsidTr="00756C10">
        <w:tc>
          <w:tcPr>
            <w:tcW w:w="2284" w:type="dxa"/>
            <w:gridSpan w:val="2"/>
            <w:tcBorders>
              <w:top w:val="single" w:sz="12" w:space="0" w:color="auto"/>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t>Título de la consultoría</w:t>
            </w:r>
          </w:p>
        </w:tc>
        <w:tc>
          <w:tcPr>
            <w:tcW w:w="6931" w:type="dxa"/>
            <w:tcBorders>
              <w:top w:val="single" w:sz="12" w:space="0" w:color="auto"/>
              <w:left w:val="single" w:sz="12" w:space="0" w:color="auto"/>
              <w:right w:val="single" w:sz="12" w:space="0" w:color="auto"/>
            </w:tcBorders>
            <w:vAlign w:val="center"/>
          </w:tcPr>
          <w:p w:rsidR="00D50D85" w:rsidRPr="00756C10" w:rsidRDefault="00756C10" w:rsidP="00084BCA">
            <w:pPr>
              <w:jc w:val="both"/>
              <w:rPr>
                <w:rFonts w:ascii="Georgia" w:hAnsi="Georgia" w:cs="Arial"/>
                <w:b/>
                <w:lang w:val="es-MX"/>
              </w:rPr>
            </w:pPr>
            <w:r>
              <w:rPr>
                <w:rFonts w:ascii="Georgia" w:hAnsi="Georgia" w:cs="Arial"/>
                <w:b/>
                <w:lang w:val="es-MX"/>
              </w:rPr>
              <w:t>E</w:t>
            </w:r>
            <w:r w:rsidRPr="00D50D85">
              <w:rPr>
                <w:rFonts w:ascii="Georgia" w:hAnsi="Georgia" w:cs="Arial"/>
                <w:b/>
                <w:lang w:val="es-MX"/>
              </w:rPr>
              <w:t>laboración de informe</w:t>
            </w:r>
            <w:r>
              <w:rPr>
                <w:rFonts w:ascii="Georgia" w:hAnsi="Georgia" w:cs="Arial"/>
                <w:b/>
                <w:lang w:val="es-MX"/>
              </w:rPr>
              <w:t>s</w:t>
            </w:r>
            <w:r w:rsidRPr="00D50D85">
              <w:rPr>
                <w:rFonts w:ascii="Georgia" w:hAnsi="Georgia" w:cs="Arial"/>
                <w:b/>
                <w:lang w:val="es-MX"/>
              </w:rPr>
              <w:t xml:space="preserve"> solicitado</w:t>
            </w:r>
            <w:r>
              <w:rPr>
                <w:rFonts w:ascii="Georgia" w:hAnsi="Georgia" w:cs="Arial"/>
                <w:b/>
                <w:lang w:val="es-MX"/>
              </w:rPr>
              <w:t>s</w:t>
            </w:r>
            <w:r w:rsidRPr="00D50D85">
              <w:rPr>
                <w:rFonts w:ascii="Georgia" w:hAnsi="Georgia" w:cs="Arial"/>
                <w:b/>
                <w:lang w:val="es-MX"/>
              </w:rPr>
              <w:t xml:space="preserve"> por el </w:t>
            </w:r>
            <w:r>
              <w:rPr>
                <w:rFonts w:ascii="Georgia" w:hAnsi="Georgia" w:cs="Arial"/>
                <w:b/>
                <w:lang w:val="es-MX"/>
              </w:rPr>
              <w:t>Ministerio de Relaciones Exteriores para la Renovación del A</w:t>
            </w:r>
            <w:r w:rsidRPr="00D50D85">
              <w:rPr>
                <w:rFonts w:ascii="Georgia" w:hAnsi="Georgia" w:cs="Arial"/>
                <w:b/>
                <w:lang w:val="es-MX"/>
              </w:rPr>
              <w:t xml:space="preserve">cuerdo </w:t>
            </w:r>
            <w:r>
              <w:rPr>
                <w:rFonts w:ascii="Georgia" w:hAnsi="Georgia" w:cs="Arial"/>
                <w:b/>
                <w:lang w:val="es-MX"/>
              </w:rPr>
              <w:t>Marco de C</w:t>
            </w:r>
            <w:r>
              <w:rPr>
                <w:rFonts w:ascii="Georgia" w:hAnsi="Georgia" w:cs="Arial"/>
                <w:b/>
                <w:lang w:val="es-MX"/>
              </w:rPr>
              <w:t>ooperación de “W</w:t>
            </w:r>
            <w:r w:rsidRPr="00D50D85">
              <w:rPr>
                <w:rFonts w:ascii="Georgia" w:hAnsi="Georgia" w:cs="Arial"/>
                <w:b/>
                <w:lang w:val="es-MX"/>
              </w:rPr>
              <w:t xml:space="preserve">e </w:t>
            </w:r>
            <w:r>
              <w:rPr>
                <w:rFonts w:ascii="Georgia" w:hAnsi="Georgia" w:cs="Arial"/>
                <w:b/>
                <w:lang w:val="es-MX"/>
              </w:rPr>
              <w:t>E</w:t>
            </w:r>
            <w:r w:rsidRPr="00D50D85">
              <w:rPr>
                <w:rFonts w:ascii="Georgia" w:hAnsi="Georgia" w:cs="Arial"/>
                <w:b/>
                <w:lang w:val="es-MX"/>
              </w:rPr>
              <w:t xml:space="preserve">ffect” con el  </w:t>
            </w:r>
            <w:r>
              <w:rPr>
                <w:rFonts w:ascii="Georgia" w:hAnsi="Georgia" w:cs="Arial"/>
                <w:b/>
                <w:lang w:val="es-MX"/>
              </w:rPr>
              <w:t>E</w:t>
            </w:r>
            <w:r w:rsidRPr="00D50D85">
              <w:rPr>
                <w:rFonts w:ascii="Georgia" w:hAnsi="Georgia" w:cs="Arial"/>
                <w:b/>
                <w:lang w:val="es-MX"/>
              </w:rPr>
              <w:t xml:space="preserve">stado </w:t>
            </w:r>
            <w:r>
              <w:rPr>
                <w:rFonts w:ascii="Georgia" w:hAnsi="Georgia" w:cs="Arial"/>
                <w:b/>
                <w:lang w:val="es-MX"/>
              </w:rPr>
              <w:t>Plurinacional de B</w:t>
            </w:r>
            <w:r w:rsidRPr="00D50D85">
              <w:rPr>
                <w:rFonts w:ascii="Georgia" w:hAnsi="Georgia" w:cs="Arial"/>
                <w:b/>
                <w:lang w:val="es-MX"/>
              </w:rPr>
              <w:t>olivia</w:t>
            </w:r>
          </w:p>
        </w:tc>
      </w:tr>
      <w:tr w:rsidR="00D50D85" w:rsidTr="00756C10">
        <w:tc>
          <w:tcPr>
            <w:tcW w:w="2284" w:type="dxa"/>
            <w:gridSpan w:val="2"/>
            <w:tcBorders>
              <w:left w:val="single" w:sz="12" w:space="0" w:color="auto"/>
              <w:right w:val="single" w:sz="12" w:space="0" w:color="auto"/>
            </w:tcBorders>
            <w:vAlign w:val="center"/>
          </w:tcPr>
          <w:p w:rsidR="00D50D85" w:rsidRPr="00711FB8"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t>Objetivo de la prestación de servicios</w:t>
            </w:r>
          </w:p>
        </w:tc>
        <w:tc>
          <w:tcPr>
            <w:tcW w:w="6931" w:type="dxa"/>
            <w:tcBorders>
              <w:left w:val="single" w:sz="12" w:space="0" w:color="auto"/>
              <w:right w:val="single" w:sz="12" w:space="0" w:color="auto"/>
            </w:tcBorders>
            <w:vAlign w:val="center"/>
          </w:tcPr>
          <w:p w:rsidR="00D50D85" w:rsidRPr="001F5B2F" w:rsidRDefault="00756C10" w:rsidP="00084BCA">
            <w:pPr>
              <w:jc w:val="both"/>
              <w:rPr>
                <w:rFonts w:ascii="Georgia" w:hAnsi="Georgia" w:cs="Arial"/>
                <w:lang w:val="es-MX"/>
              </w:rPr>
            </w:pPr>
            <w:r>
              <w:rPr>
                <w:rFonts w:ascii="Georgia" w:hAnsi="Georgia" w:cs="Arial"/>
                <w:lang w:val="es-MX"/>
              </w:rPr>
              <w:t xml:space="preserve">Prestar servicios técnicos a </w:t>
            </w:r>
            <w:r w:rsidR="00D50D85">
              <w:rPr>
                <w:rFonts w:ascii="Georgia" w:hAnsi="Georgia" w:cs="Arial"/>
                <w:lang w:val="es-MX"/>
              </w:rPr>
              <w:t xml:space="preserve">We Effect en </w:t>
            </w:r>
            <w:r>
              <w:rPr>
                <w:rFonts w:ascii="Georgia" w:hAnsi="Georgia" w:cs="Arial"/>
                <w:lang w:val="es-MX"/>
              </w:rPr>
              <w:t xml:space="preserve">Bolivia </w:t>
            </w:r>
            <w:r w:rsidR="00D50D85">
              <w:rPr>
                <w:rFonts w:ascii="Georgia" w:hAnsi="Georgia" w:cs="Arial"/>
                <w:lang w:val="es-MX"/>
              </w:rPr>
              <w:t xml:space="preserve"> durante el proceso de recopilación y sistematización de información </w:t>
            </w:r>
            <w:r w:rsidR="001F5B2F">
              <w:rPr>
                <w:rFonts w:ascii="Georgia" w:hAnsi="Georgia" w:cs="Arial"/>
                <w:lang w:val="es-MX"/>
              </w:rPr>
              <w:t>en función a los criterios y requerimientos establecidos por el Ministerio de Relaciones Exteriores de Bolivia para la renovación del Acuerdo Marco de Cooperación Básica.</w:t>
            </w:r>
          </w:p>
        </w:tc>
      </w:tr>
      <w:tr w:rsidR="00D50D85" w:rsidTr="00C92D87">
        <w:trPr>
          <w:trHeight w:val="877"/>
        </w:trPr>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sidRPr="005A60AD">
              <w:rPr>
                <w:rFonts w:ascii="Georgia" w:hAnsi="Georgia" w:cs="Arial"/>
                <w:b/>
                <w:color w:val="595959" w:themeColor="text1" w:themeTint="A6"/>
                <w:lang w:val="es-MX"/>
              </w:rPr>
              <w:t>Organización contratante</w:t>
            </w:r>
          </w:p>
        </w:tc>
        <w:tc>
          <w:tcPr>
            <w:tcW w:w="6931" w:type="dxa"/>
            <w:tcBorders>
              <w:left w:val="single" w:sz="12" w:space="0" w:color="auto"/>
              <w:right w:val="single" w:sz="12" w:space="0" w:color="auto"/>
            </w:tcBorders>
            <w:vAlign w:val="center"/>
          </w:tcPr>
          <w:p w:rsidR="00D50D85" w:rsidRDefault="00D50D85" w:rsidP="00084BCA">
            <w:pPr>
              <w:jc w:val="both"/>
              <w:rPr>
                <w:rFonts w:ascii="Georgia" w:hAnsi="Georgia" w:cs="Arial"/>
                <w:lang w:val="es-MX"/>
              </w:rPr>
            </w:pPr>
            <w:r w:rsidRPr="005A60AD">
              <w:rPr>
                <w:rFonts w:ascii="Georgia" w:hAnsi="Georgia" w:cs="Arial"/>
                <w:lang w:val="es-MX"/>
              </w:rPr>
              <w:t>We Effect</w:t>
            </w:r>
          </w:p>
          <w:p w:rsidR="00D50D85" w:rsidRPr="005A60AD" w:rsidRDefault="00D50D85" w:rsidP="00084BCA">
            <w:pPr>
              <w:jc w:val="both"/>
              <w:rPr>
                <w:rFonts w:ascii="Georgia" w:hAnsi="Georgia" w:cs="Arial"/>
                <w:sz w:val="14"/>
                <w:szCs w:val="14"/>
                <w:lang w:val="es-MX"/>
              </w:rPr>
            </w:pPr>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sidRPr="005A60AD">
              <w:rPr>
                <w:rFonts w:ascii="Georgia" w:hAnsi="Georgia" w:cs="Arial"/>
                <w:b/>
                <w:color w:val="595959" w:themeColor="text1" w:themeTint="A6"/>
                <w:lang w:val="es-MX"/>
              </w:rPr>
              <w:t>Ubicación</w:t>
            </w:r>
            <w:r>
              <w:rPr>
                <w:rFonts w:ascii="Georgia" w:hAnsi="Georgia" w:cs="Arial"/>
                <w:b/>
                <w:color w:val="595959" w:themeColor="text1" w:themeTint="A6"/>
                <w:lang w:val="es-MX"/>
              </w:rPr>
              <w:t xml:space="preserve"> geográfica</w:t>
            </w:r>
          </w:p>
        </w:tc>
        <w:tc>
          <w:tcPr>
            <w:tcW w:w="6931" w:type="dxa"/>
            <w:tcBorders>
              <w:left w:val="single" w:sz="12" w:space="0" w:color="auto"/>
              <w:right w:val="single" w:sz="12" w:space="0" w:color="auto"/>
            </w:tcBorders>
            <w:vAlign w:val="center"/>
          </w:tcPr>
          <w:p w:rsidR="00D50D85" w:rsidRPr="005A60AD" w:rsidRDefault="001F5B2F" w:rsidP="001F5B2F">
            <w:pPr>
              <w:jc w:val="both"/>
              <w:rPr>
                <w:rFonts w:ascii="Georgia" w:hAnsi="Georgia" w:cs="Arial"/>
                <w:sz w:val="14"/>
                <w:szCs w:val="14"/>
                <w:lang w:val="es-MX"/>
              </w:rPr>
            </w:pPr>
            <w:r>
              <w:rPr>
                <w:rFonts w:ascii="Georgia" w:hAnsi="Georgia" w:cs="Arial"/>
                <w:lang w:val="es-MX"/>
              </w:rPr>
              <w:t>Bolivia</w:t>
            </w:r>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sidRPr="005A60AD">
              <w:rPr>
                <w:rFonts w:ascii="Georgia" w:hAnsi="Georgia" w:cs="Arial"/>
                <w:b/>
                <w:color w:val="595959" w:themeColor="text1" w:themeTint="A6"/>
                <w:lang w:val="es-MX"/>
              </w:rPr>
              <w:t>Condiciones generales</w:t>
            </w:r>
            <w:r>
              <w:rPr>
                <w:rFonts w:ascii="Georgia" w:hAnsi="Georgia" w:cs="Arial"/>
                <w:b/>
                <w:color w:val="595959" w:themeColor="text1" w:themeTint="A6"/>
                <w:lang w:val="es-MX"/>
              </w:rPr>
              <w:t xml:space="preserve"> dela consultoría</w:t>
            </w:r>
          </w:p>
        </w:tc>
        <w:tc>
          <w:tcPr>
            <w:tcW w:w="6931" w:type="dxa"/>
            <w:tcBorders>
              <w:left w:val="single" w:sz="12" w:space="0" w:color="auto"/>
              <w:right w:val="single" w:sz="12" w:space="0" w:color="auto"/>
            </w:tcBorders>
            <w:vAlign w:val="center"/>
          </w:tcPr>
          <w:p w:rsidR="00D50D85" w:rsidRPr="00C92D87" w:rsidRDefault="00D50D85" w:rsidP="00C92D87">
            <w:pPr>
              <w:spacing w:after="0"/>
              <w:jc w:val="both"/>
              <w:rPr>
                <w:rFonts w:ascii="Georgia" w:hAnsi="Georgia" w:cs="Arial"/>
                <w:lang w:val="es-MX"/>
              </w:rPr>
            </w:pPr>
            <w:r w:rsidRPr="00C92D87">
              <w:rPr>
                <w:rFonts w:ascii="Georgia" w:hAnsi="Georgia" w:cs="Arial"/>
                <w:lang w:val="es-MX"/>
              </w:rPr>
              <w:t xml:space="preserve">Productos a ser entregados: </w:t>
            </w:r>
          </w:p>
          <w:p w:rsidR="00D50D85" w:rsidRDefault="00D50D85" w:rsidP="00084BCA">
            <w:pPr>
              <w:pStyle w:val="Prrafodelista"/>
              <w:ind w:left="172"/>
              <w:jc w:val="both"/>
              <w:rPr>
                <w:rFonts w:ascii="Georgia" w:hAnsi="Georgia" w:cs="Arial"/>
                <w:lang w:val="es-MX"/>
              </w:rPr>
            </w:pPr>
          </w:p>
          <w:p w:rsidR="001F5B2F" w:rsidRPr="00C92D87" w:rsidRDefault="001F5B2F" w:rsidP="001F5B2F">
            <w:pPr>
              <w:pStyle w:val="Prrafodelista"/>
              <w:numPr>
                <w:ilvl w:val="0"/>
                <w:numId w:val="5"/>
              </w:numPr>
              <w:spacing w:after="0" w:line="240" w:lineRule="auto"/>
              <w:jc w:val="both"/>
              <w:rPr>
                <w:rFonts w:ascii="Georgia" w:hAnsi="Georgia" w:cs="Arial"/>
                <w:lang w:val="es-MX"/>
              </w:rPr>
            </w:pPr>
            <w:r w:rsidRPr="00C92D87">
              <w:rPr>
                <w:rFonts w:ascii="Georgia" w:hAnsi="Georgia" w:cs="Arial"/>
                <w:lang w:val="es-MX"/>
              </w:rPr>
              <w:t>Informe anual gestión 2018 al Estado Plurinacional de Bolivia, en medio magnético y físico, a ser presentado al Ministerio de Relaciones Exteriores en formato establecido por el mismo, con copia adecuada a cada uno de los Ministerios relacionadas al área de trabajo.</w:t>
            </w:r>
          </w:p>
          <w:p w:rsidR="001F5B2F" w:rsidRPr="00C92D87" w:rsidRDefault="001F5B2F" w:rsidP="001F5B2F">
            <w:pPr>
              <w:pStyle w:val="Prrafodelista"/>
              <w:spacing w:after="0" w:line="240" w:lineRule="auto"/>
              <w:ind w:left="862"/>
              <w:jc w:val="both"/>
              <w:rPr>
                <w:rFonts w:ascii="Georgia" w:hAnsi="Georgia" w:cs="Arial"/>
                <w:lang w:val="es-MX"/>
              </w:rPr>
            </w:pPr>
          </w:p>
          <w:p w:rsidR="001F5B2F" w:rsidRPr="00C92D87" w:rsidRDefault="001F5B2F" w:rsidP="001F5B2F">
            <w:pPr>
              <w:pStyle w:val="Prrafodelista"/>
              <w:numPr>
                <w:ilvl w:val="0"/>
                <w:numId w:val="5"/>
              </w:numPr>
              <w:spacing w:after="0" w:line="240" w:lineRule="auto"/>
              <w:jc w:val="both"/>
              <w:rPr>
                <w:rFonts w:ascii="Georgia" w:hAnsi="Georgia" w:cs="Arial"/>
                <w:lang w:val="es-MX"/>
              </w:rPr>
            </w:pPr>
            <w:r w:rsidRPr="00C92D87">
              <w:rPr>
                <w:rFonts w:ascii="Georgia" w:hAnsi="Georgia" w:cs="Arial"/>
                <w:lang w:val="es-MX"/>
              </w:rPr>
              <w:t>Informe final pormenorizado de la situación del estado de ejecución, implementación y logros de los programas y/o proyectos, del período de vigencia y no vigencia del AMCB, en medio magnético y físico, a ser presentado al Ministerio de Relaciones Exteriores en formato establecido por el mismo.</w:t>
            </w:r>
          </w:p>
          <w:p w:rsidR="001F5B2F" w:rsidRPr="00C92D87" w:rsidRDefault="001F5B2F" w:rsidP="001F5B2F">
            <w:pPr>
              <w:spacing w:after="0" w:line="240" w:lineRule="auto"/>
              <w:jc w:val="both"/>
              <w:rPr>
                <w:rFonts w:ascii="Georgia" w:hAnsi="Georgia" w:cs="Arial"/>
                <w:lang w:val="es-MX"/>
              </w:rPr>
            </w:pPr>
          </w:p>
          <w:p w:rsidR="00D50D85" w:rsidRDefault="001F5B2F" w:rsidP="00C92D87">
            <w:pPr>
              <w:pStyle w:val="Prrafodelista"/>
              <w:numPr>
                <w:ilvl w:val="0"/>
                <w:numId w:val="5"/>
              </w:numPr>
              <w:spacing w:after="0" w:line="240" w:lineRule="auto"/>
              <w:jc w:val="both"/>
              <w:rPr>
                <w:rFonts w:ascii="Georgia" w:hAnsi="Georgia" w:cs="Arial"/>
                <w:lang w:val="es-MX"/>
              </w:rPr>
            </w:pPr>
            <w:r w:rsidRPr="00C92D87">
              <w:rPr>
                <w:rFonts w:ascii="Georgia" w:hAnsi="Georgia" w:cs="Arial"/>
                <w:lang w:val="es-MX"/>
              </w:rPr>
              <w:t>Informe final de los programas, proyectos y actividades de cooperación en proceso y a desarrollarse en el país en el nuevo período (2019-2022), en medio magnético y físico, a ser presentado al Ministerio de Relaciones Exteriores en formato establecido por el mismo.</w:t>
            </w:r>
          </w:p>
          <w:p w:rsidR="00C92D87" w:rsidRPr="00C92D87" w:rsidRDefault="00C92D87" w:rsidP="00C92D87">
            <w:pPr>
              <w:spacing w:after="0" w:line="240" w:lineRule="auto"/>
              <w:jc w:val="both"/>
              <w:rPr>
                <w:rFonts w:ascii="Georgia" w:hAnsi="Georgia" w:cs="Arial"/>
                <w:lang w:val="es-MX"/>
              </w:rPr>
            </w:pPr>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sidRPr="005A60AD">
              <w:rPr>
                <w:rFonts w:ascii="Georgia" w:hAnsi="Georgia" w:cs="Arial"/>
                <w:b/>
                <w:color w:val="595959" w:themeColor="text1" w:themeTint="A6"/>
                <w:lang w:val="es-MX"/>
              </w:rPr>
              <w:t>Supervisión</w:t>
            </w:r>
          </w:p>
        </w:tc>
        <w:tc>
          <w:tcPr>
            <w:tcW w:w="6931" w:type="dxa"/>
            <w:tcBorders>
              <w:left w:val="single" w:sz="12" w:space="0" w:color="auto"/>
              <w:right w:val="single" w:sz="12" w:space="0" w:color="auto"/>
            </w:tcBorders>
            <w:vAlign w:val="center"/>
          </w:tcPr>
          <w:p w:rsidR="00D50D85" w:rsidRPr="00C92D87" w:rsidRDefault="00D50D85" w:rsidP="00084BCA">
            <w:pPr>
              <w:jc w:val="both"/>
              <w:rPr>
                <w:rFonts w:ascii="Georgia" w:hAnsi="Georgia" w:cs="Arial"/>
                <w:lang w:val="es-MX"/>
              </w:rPr>
            </w:pPr>
            <w:r>
              <w:rPr>
                <w:rFonts w:ascii="Georgia" w:hAnsi="Georgia" w:cs="Arial"/>
                <w:lang w:val="es-MX"/>
              </w:rPr>
              <w:t>Representación País de We Effect en Bolivia, Sandra Bustamante</w:t>
            </w:r>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t>Principales responsabilidades y actividades de la consultoría</w:t>
            </w:r>
          </w:p>
        </w:tc>
        <w:tc>
          <w:tcPr>
            <w:tcW w:w="6931" w:type="dxa"/>
            <w:tcBorders>
              <w:left w:val="single" w:sz="12" w:space="0" w:color="auto"/>
              <w:right w:val="single" w:sz="12" w:space="0" w:color="auto"/>
            </w:tcBorders>
            <w:vAlign w:val="center"/>
          </w:tcPr>
          <w:p w:rsidR="00C92D87" w:rsidRPr="00C92D87" w:rsidRDefault="00C92D87" w:rsidP="00C92D87">
            <w:pPr>
              <w:tabs>
                <w:tab w:val="left" w:pos="0"/>
              </w:tabs>
              <w:spacing w:after="0" w:line="240" w:lineRule="auto"/>
              <w:jc w:val="both"/>
              <w:rPr>
                <w:rFonts w:ascii="Georgia" w:hAnsi="Georgia" w:cs="Arial"/>
                <w:lang w:val="es-MX"/>
              </w:rPr>
            </w:pPr>
            <w:r w:rsidRPr="00C92D87">
              <w:rPr>
                <w:rFonts w:ascii="Georgia" w:hAnsi="Georgia" w:cs="Arial"/>
                <w:lang w:val="es-MX"/>
              </w:rPr>
              <w:t>La propuesta técnica contempla:</w:t>
            </w:r>
          </w:p>
          <w:p w:rsidR="00C92D87" w:rsidRPr="00C92D87" w:rsidRDefault="00C92D87" w:rsidP="00C92D87">
            <w:pPr>
              <w:tabs>
                <w:tab w:val="left" w:pos="0"/>
              </w:tabs>
              <w:spacing w:after="0" w:line="240" w:lineRule="auto"/>
              <w:jc w:val="both"/>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 xml:space="preserve">La revisión documentaria de los informes anuales, enviada a la Representante País, por cada una de las contrapartes y de cada uno de los proyectos ejecutados en el período Enero a Diciembre de 2018. </w:t>
            </w:r>
          </w:p>
          <w:p w:rsidR="00C92D87" w:rsidRPr="00C92D87" w:rsidRDefault="00C92D87" w:rsidP="00C92D87">
            <w:pPr>
              <w:pStyle w:val="Prrafodelista"/>
              <w:tabs>
                <w:tab w:val="left" w:pos="0"/>
              </w:tabs>
              <w:spacing w:after="0" w:line="240" w:lineRule="auto"/>
              <w:ind w:left="444"/>
              <w:jc w:val="both"/>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La sistematización y el análisis de la misma en concordancia al formato y a los requisitos establecidos por el Ministerio de Relaciones Exteriores.</w:t>
            </w:r>
          </w:p>
          <w:p w:rsidR="00C92D87" w:rsidRPr="00C92D87" w:rsidRDefault="00C92D87" w:rsidP="00C92D87">
            <w:pPr>
              <w:pStyle w:val="Prrafodelista"/>
              <w:ind w:left="444"/>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La revisión documentaria de la información enviada a los correspondientes ministerios (medio magnético e impreso) como la existente en archivos de la oficina del período correspondiente a la vigencia del convenio.</w:t>
            </w:r>
          </w:p>
          <w:p w:rsidR="00C92D87" w:rsidRPr="00C92D87" w:rsidRDefault="00C92D87" w:rsidP="00C92D87">
            <w:pPr>
              <w:pStyle w:val="Prrafodelista"/>
              <w:tabs>
                <w:tab w:val="left" w:pos="0"/>
              </w:tabs>
              <w:spacing w:after="0" w:line="240" w:lineRule="auto"/>
              <w:ind w:left="444"/>
              <w:jc w:val="both"/>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 xml:space="preserve"> La revisión documentaria de la información enviada a los correspondientes ministerios (medio magnético e impreso) como la existente en archivos de la oficina del período correspondiente a NO vigencia del convenio.</w:t>
            </w:r>
          </w:p>
          <w:p w:rsidR="00C92D87" w:rsidRPr="00C92D87" w:rsidRDefault="00C92D87" w:rsidP="00C92D87">
            <w:pPr>
              <w:tabs>
                <w:tab w:val="left" w:pos="0"/>
              </w:tabs>
              <w:spacing w:after="0" w:line="240" w:lineRule="auto"/>
              <w:ind w:left="444"/>
              <w:jc w:val="both"/>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La sistematización y el análisis de la misma en concordancia al formato y a los requisitos establecidos por el Ministerio de Relaciones Exteriores, para la elaboración del informe final.</w:t>
            </w:r>
          </w:p>
          <w:p w:rsidR="00C92D87" w:rsidRPr="00C92D87" w:rsidRDefault="00C92D87" w:rsidP="00C92D87">
            <w:pPr>
              <w:pStyle w:val="Prrafodelista"/>
              <w:ind w:left="444"/>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Elaboración de formato para la realización de las actividades en proceso y a desarrollarse - período de 2019 – 2022, por parte de We Effect.</w:t>
            </w:r>
          </w:p>
          <w:p w:rsidR="00C92D87" w:rsidRPr="00C92D87" w:rsidRDefault="00C92D87" w:rsidP="00C92D87">
            <w:pPr>
              <w:pStyle w:val="Prrafodelista"/>
              <w:tabs>
                <w:tab w:val="left" w:pos="0"/>
              </w:tabs>
              <w:spacing w:after="0" w:line="240" w:lineRule="auto"/>
              <w:ind w:left="444"/>
              <w:jc w:val="both"/>
              <w:rPr>
                <w:rFonts w:ascii="Georgia" w:hAnsi="Georgia" w:cs="Arial"/>
                <w:lang w:val="es-MX"/>
              </w:rPr>
            </w:pPr>
          </w:p>
          <w:p w:rsidR="00C92D87" w:rsidRP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 xml:space="preserve"> La revisión documentaria respectiva relacionada, con los Programas SEMBRANDO y VIVHA a nivel global, regional y nacional de We Effect para el nuevo período quinquenal, como aquella relacionada con los proyectos y contrapartes comprendidas, estableciéndose con claridad las acciones que están en proceso y las que  se desarrollarán en el nuevo período 2019-2022.</w:t>
            </w:r>
          </w:p>
          <w:p w:rsidR="00C92D87" w:rsidRPr="00C92D87" w:rsidRDefault="00C92D87" w:rsidP="00C92D87">
            <w:pPr>
              <w:pStyle w:val="Prrafodelista"/>
              <w:ind w:left="444"/>
              <w:rPr>
                <w:rFonts w:ascii="Georgia" w:hAnsi="Georgia" w:cs="Arial"/>
                <w:lang w:val="es-MX"/>
              </w:rPr>
            </w:pPr>
          </w:p>
          <w:p w:rsidR="00C92D87" w:rsidRDefault="00C92D87"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 xml:space="preserve">Una vez concluida la redacción,  de cada uno de los informes, previa revisión con la Representante  de We Effect,  se realizará el armado físico de la carpeta,  la impresión respectiva y la entrega de los documentos finales (3) en formato magnético y físico. </w:t>
            </w:r>
          </w:p>
          <w:p w:rsidR="00C92D87" w:rsidRPr="00C92D87" w:rsidRDefault="00C92D87" w:rsidP="00C92D87">
            <w:pPr>
              <w:pStyle w:val="Prrafodelista"/>
              <w:rPr>
                <w:rFonts w:ascii="Georgia" w:hAnsi="Georgia" w:cs="Arial"/>
                <w:lang w:val="es-MX"/>
              </w:rPr>
            </w:pPr>
          </w:p>
          <w:p w:rsidR="00D50D85" w:rsidRDefault="00D50D85" w:rsidP="00C92D87">
            <w:pPr>
              <w:pStyle w:val="Prrafodelista"/>
              <w:numPr>
                <w:ilvl w:val="0"/>
                <w:numId w:val="6"/>
              </w:numPr>
              <w:tabs>
                <w:tab w:val="left" w:pos="0"/>
              </w:tabs>
              <w:spacing w:after="0" w:line="240" w:lineRule="auto"/>
              <w:ind w:left="444"/>
              <w:jc w:val="both"/>
              <w:rPr>
                <w:rFonts w:ascii="Georgia" w:hAnsi="Georgia" w:cs="Arial"/>
                <w:lang w:val="es-MX"/>
              </w:rPr>
            </w:pPr>
            <w:r w:rsidRPr="00C92D87">
              <w:rPr>
                <w:rFonts w:ascii="Georgia" w:hAnsi="Georgia" w:cs="Arial"/>
                <w:lang w:val="es-MX"/>
              </w:rPr>
              <w:t xml:space="preserve">Diálogo permanente con la representación país de We Effect para informar acerca del proceso de </w:t>
            </w:r>
            <w:r w:rsidR="00C92D87">
              <w:rPr>
                <w:rFonts w:ascii="Georgia" w:hAnsi="Georgia" w:cs="Arial"/>
                <w:lang w:val="es-MX"/>
              </w:rPr>
              <w:t>elaboración</w:t>
            </w:r>
            <w:r w:rsidRPr="00C92D87">
              <w:rPr>
                <w:rFonts w:ascii="Georgia" w:hAnsi="Georgia" w:cs="Arial"/>
                <w:lang w:val="es-MX"/>
              </w:rPr>
              <w:t>.</w:t>
            </w:r>
          </w:p>
          <w:p w:rsidR="00C92D87" w:rsidRPr="00C92D87" w:rsidRDefault="00C92D87" w:rsidP="00C92D87">
            <w:pPr>
              <w:tabs>
                <w:tab w:val="left" w:pos="0"/>
              </w:tabs>
              <w:spacing w:after="0" w:line="240" w:lineRule="auto"/>
              <w:jc w:val="both"/>
              <w:rPr>
                <w:rFonts w:ascii="Georgia" w:hAnsi="Georgia" w:cs="Arial"/>
                <w:lang w:val="es-MX"/>
              </w:rPr>
            </w:pPr>
          </w:p>
        </w:tc>
      </w:tr>
      <w:tr w:rsidR="00D50D85" w:rsidTr="00787A2E">
        <w:trPr>
          <w:trHeight w:val="565"/>
        </w:trPr>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sidRPr="005A60AD">
              <w:rPr>
                <w:rFonts w:ascii="Georgia" w:hAnsi="Georgia" w:cs="Arial"/>
                <w:b/>
                <w:color w:val="595959" w:themeColor="text1" w:themeTint="A6"/>
                <w:lang w:val="es-MX"/>
              </w:rPr>
              <w:lastRenderedPageBreak/>
              <w:t>Contacto</w:t>
            </w:r>
            <w:r>
              <w:rPr>
                <w:rFonts w:ascii="Georgia" w:hAnsi="Georgia" w:cs="Arial"/>
                <w:b/>
                <w:color w:val="595959" w:themeColor="text1" w:themeTint="A6"/>
                <w:lang w:val="es-MX"/>
              </w:rPr>
              <w:t xml:space="preserve"> correo – electrónico </w:t>
            </w:r>
          </w:p>
        </w:tc>
        <w:tc>
          <w:tcPr>
            <w:tcW w:w="6931" w:type="dxa"/>
            <w:tcBorders>
              <w:left w:val="single" w:sz="12" w:space="0" w:color="auto"/>
              <w:right w:val="single" w:sz="12" w:space="0" w:color="auto"/>
            </w:tcBorders>
            <w:vAlign w:val="center"/>
          </w:tcPr>
          <w:p w:rsidR="00D50D85" w:rsidRPr="00C92D87" w:rsidRDefault="00D50D85" w:rsidP="00084BCA">
            <w:pPr>
              <w:jc w:val="both"/>
              <w:rPr>
                <w:rFonts w:ascii="Georgia" w:hAnsi="Georgia" w:cs="Arial"/>
                <w:lang w:val="es-MX"/>
              </w:rPr>
            </w:pPr>
            <w:r>
              <w:rPr>
                <w:rFonts w:ascii="Georgia" w:hAnsi="Georgia" w:cs="Arial"/>
                <w:lang w:val="es-MX"/>
              </w:rPr>
              <w:t xml:space="preserve"> </w:t>
            </w:r>
            <w:hyperlink r:id="rId5" w:history="1">
              <w:r w:rsidRPr="00E65BEF">
                <w:rPr>
                  <w:rStyle w:val="Hipervnculo"/>
                  <w:rFonts w:ascii="Georgia" w:hAnsi="Georgia" w:cs="Arial"/>
                  <w:lang w:val="es-MX"/>
                </w:rPr>
                <w:t>ame766@hotmail.com</w:t>
              </w:r>
            </w:hyperlink>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t>Período de duración de trabajo</w:t>
            </w:r>
          </w:p>
        </w:tc>
        <w:tc>
          <w:tcPr>
            <w:tcW w:w="6931" w:type="dxa"/>
            <w:tcBorders>
              <w:left w:val="single" w:sz="12" w:space="0" w:color="auto"/>
              <w:right w:val="single" w:sz="12" w:space="0" w:color="auto"/>
            </w:tcBorders>
            <w:vAlign w:val="center"/>
          </w:tcPr>
          <w:p w:rsidR="00D50D85" w:rsidRDefault="00C92D87" w:rsidP="00084BCA">
            <w:pPr>
              <w:pStyle w:val="Prrafodelista"/>
              <w:ind w:left="161"/>
              <w:jc w:val="both"/>
              <w:rPr>
                <w:rFonts w:ascii="Georgia" w:hAnsi="Georgia" w:cs="Arial"/>
                <w:lang w:val="es-MX"/>
              </w:rPr>
            </w:pPr>
            <w:r>
              <w:rPr>
                <w:rFonts w:ascii="Georgia" w:hAnsi="Georgia" w:cs="Arial"/>
                <w:lang w:val="es-MX"/>
              </w:rPr>
              <w:t>2 meses</w:t>
            </w:r>
          </w:p>
          <w:p w:rsidR="00D50D85" w:rsidRPr="00C92D87" w:rsidRDefault="00D50D85" w:rsidP="00C92D87">
            <w:pPr>
              <w:pStyle w:val="Prrafodelista"/>
              <w:ind w:left="161"/>
              <w:jc w:val="both"/>
              <w:rPr>
                <w:rFonts w:ascii="Georgia" w:hAnsi="Georgia" w:cs="Arial"/>
                <w:lang w:val="es-MX"/>
              </w:rPr>
            </w:pPr>
            <w:r w:rsidRPr="00922DE3">
              <w:rPr>
                <w:rFonts w:ascii="Georgia" w:hAnsi="Georgia" w:cs="Arial"/>
                <w:lang w:val="es-MX"/>
              </w:rPr>
              <w:t xml:space="preserve">Del </w:t>
            </w:r>
            <w:r w:rsidR="00C92D87">
              <w:rPr>
                <w:rFonts w:ascii="Georgia" w:hAnsi="Georgia" w:cs="Arial"/>
                <w:lang w:val="es-MX"/>
              </w:rPr>
              <w:t>18 de Marzo</w:t>
            </w:r>
            <w:r w:rsidRPr="00922DE3">
              <w:rPr>
                <w:rFonts w:ascii="Georgia" w:hAnsi="Georgia" w:cs="Arial"/>
                <w:lang w:val="es-MX"/>
              </w:rPr>
              <w:t xml:space="preserve"> </w:t>
            </w:r>
            <w:r w:rsidR="00C92D87">
              <w:rPr>
                <w:rFonts w:ascii="Georgia" w:hAnsi="Georgia" w:cs="Arial"/>
                <w:lang w:val="es-MX"/>
              </w:rPr>
              <w:t xml:space="preserve">al 17 de Mayo </w:t>
            </w:r>
            <w:r>
              <w:rPr>
                <w:rFonts w:ascii="Georgia" w:hAnsi="Georgia" w:cs="Arial"/>
                <w:lang w:val="es-MX"/>
              </w:rPr>
              <w:t>de 2019</w:t>
            </w:r>
          </w:p>
        </w:tc>
      </w:tr>
      <w:tr w:rsidR="00D50D85" w:rsidTr="00756C10">
        <w:tc>
          <w:tcPr>
            <w:tcW w:w="2284" w:type="dxa"/>
            <w:gridSpan w:val="2"/>
            <w:tcBorders>
              <w:left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t xml:space="preserve">Propuesta de forma de pago </w:t>
            </w:r>
          </w:p>
        </w:tc>
        <w:tc>
          <w:tcPr>
            <w:tcW w:w="6931" w:type="dxa"/>
            <w:tcBorders>
              <w:left w:val="single" w:sz="12" w:space="0" w:color="auto"/>
              <w:right w:val="single" w:sz="12" w:space="0" w:color="auto"/>
            </w:tcBorders>
            <w:vAlign w:val="center"/>
          </w:tcPr>
          <w:p w:rsidR="00C92D87" w:rsidRPr="00C92D87" w:rsidRDefault="00C92D87" w:rsidP="00C92D87">
            <w:pPr>
              <w:pStyle w:val="Prrafodelista"/>
              <w:numPr>
                <w:ilvl w:val="0"/>
                <w:numId w:val="7"/>
              </w:numPr>
              <w:spacing w:after="0" w:line="240" w:lineRule="auto"/>
              <w:jc w:val="both"/>
              <w:rPr>
                <w:rFonts w:ascii="Georgia" w:hAnsi="Georgia" w:cs="Arial"/>
                <w:lang w:val="es-MX"/>
              </w:rPr>
            </w:pPr>
            <w:r w:rsidRPr="00C92D87">
              <w:rPr>
                <w:rFonts w:ascii="Georgia" w:hAnsi="Georgia" w:cs="Arial"/>
                <w:lang w:val="es-MX"/>
              </w:rPr>
              <w:t>A la entrega del 1° Producto, USD 895</w:t>
            </w:r>
            <w:r w:rsidRPr="00C92D87">
              <w:rPr>
                <w:rFonts w:ascii="Georgia" w:hAnsi="Georgia" w:cs="Arial"/>
                <w:lang w:val="es-MX"/>
              </w:rPr>
              <w:tab/>
            </w:r>
            <w:r w:rsidRPr="00C92D87">
              <w:rPr>
                <w:rFonts w:ascii="Georgia" w:hAnsi="Georgia" w:cs="Arial"/>
                <w:lang w:val="es-MX"/>
              </w:rPr>
              <w:tab/>
            </w:r>
            <w:r w:rsidRPr="00C92D87">
              <w:rPr>
                <w:rFonts w:ascii="Georgia" w:hAnsi="Georgia" w:cs="Arial"/>
                <w:lang w:val="es-MX"/>
              </w:rPr>
              <w:tab/>
            </w:r>
          </w:p>
          <w:p w:rsidR="00C92D87" w:rsidRPr="00C92D87" w:rsidRDefault="00C92D87" w:rsidP="00C92D87">
            <w:pPr>
              <w:pStyle w:val="Prrafodelista"/>
              <w:numPr>
                <w:ilvl w:val="0"/>
                <w:numId w:val="7"/>
              </w:numPr>
              <w:spacing w:after="0" w:line="240" w:lineRule="auto"/>
              <w:jc w:val="both"/>
              <w:rPr>
                <w:rFonts w:ascii="Georgia" w:hAnsi="Georgia" w:cs="Arial"/>
                <w:lang w:val="es-MX"/>
              </w:rPr>
            </w:pPr>
            <w:r w:rsidRPr="00C92D87">
              <w:rPr>
                <w:rFonts w:ascii="Georgia" w:hAnsi="Georgia" w:cs="Arial"/>
                <w:lang w:val="es-MX"/>
              </w:rPr>
              <w:t>A la entrega de 2° Producto, USD 1005</w:t>
            </w:r>
            <w:r w:rsidRPr="00C92D87">
              <w:rPr>
                <w:rFonts w:ascii="Georgia" w:hAnsi="Georgia" w:cs="Arial"/>
                <w:lang w:val="es-MX"/>
              </w:rPr>
              <w:tab/>
            </w:r>
            <w:r w:rsidRPr="00C92D87">
              <w:rPr>
                <w:rFonts w:ascii="Georgia" w:hAnsi="Georgia" w:cs="Arial"/>
                <w:lang w:val="es-MX"/>
              </w:rPr>
              <w:tab/>
            </w:r>
            <w:r w:rsidRPr="00C92D87">
              <w:rPr>
                <w:rFonts w:ascii="Georgia" w:hAnsi="Georgia" w:cs="Arial"/>
                <w:lang w:val="es-MX"/>
              </w:rPr>
              <w:tab/>
            </w:r>
          </w:p>
          <w:p w:rsidR="00D50D85" w:rsidRPr="00C92D87" w:rsidRDefault="00C92D87" w:rsidP="00C92D87">
            <w:pPr>
              <w:pStyle w:val="Prrafodelista"/>
              <w:numPr>
                <w:ilvl w:val="0"/>
                <w:numId w:val="7"/>
              </w:numPr>
              <w:jc w:val="both"/>
              <w:rPr>
                <w:rFonts w:ascii="Georgia" w:hAnsi="Georgia" w:cs="Arial"/>
                <w:sz w:val="18"/>
                <w:szCs w:val="18"/>
                <w:lang w:val="es-MX"/>
              </w:rPr>
            </w:pPr>
            <w:r w:rsidRPr="00C92D87">
              <w:rPr>
                <w:rFonts w:ascii="Georgia" w:hAnsi="Georgia" w:cs="Arial"/>
                <w:lang w:val="es-MX"/>
              </w:rPr>
              <w:t>A la entrega de 3 ° Producto, USD 1005</w:t>
            </w:r>
          </w:p>
        </w:tc>
      </w:tr>
      <w:tr w:rsidR="00D50D85" w:rsidTr="00756C10">
        <w:tc>
          <w:tcPr>
            <w:tcW w:w="2284" w:type="dxa"/>
            <w:gridSpan w:val="2"/>
            <w:tcBorders>
              <w:left w:val="single" w:sz="12" w:space="0" w:color="auto"/>
              <w:bottom w:val="single" w:sz="12" w:space="0" w:color="auto"/>
              <w:right w:val="single" w:sz="12" w:space="0" w:color="auto"/>
            </w:tcBorders>
            <w:vAlign w:val="center"/>
          </w:tcPr>
          <w:p w:rsidR="00D50D85" w:rsidRPr="005A60AD" w:rsidRDefault="00D50D85" w:rsidP="00084BCA">
            <w:pPr>
              <w:jc w:val="both"/>
              <w:rPr>
                <w:rFonts w:ascii="Georgia" w:hAnsi="Georgia" w:cs="Arial"/>
                <w:b/>
                <w:color w:val="595959" w:themeColor="text1" w:themeTint="A6"/>
                <w:lang w:val="es-MX"/>
              </w:rPr>
            </w:pPr>
            <w:r>
              <w:rPr>
                <w:rFonts w:ascii="Georgia" w:hAnsi="Georgia" w:cs="Arial"/>
                <w:b/>
                <w:color w:val="595959" w:themeColor="text1" w:themeTint="A6"/>
                <w:lang w:val="es-MX"/>
              </w:rPr>
              <w:lastRenderedPageBreak/>
              <w:t>Propuesta Económica</w:t>
            </w:r>
          </w:p>
        </w:tc>
        <w:tc>
          <w:tcPr>
            <w:tcW w:w="6931" w:type="dxa"/>
            <w:tcBorders>
              <w:left w:val="single" w:sz="12" w:space="0" w:color="auto"/>
              <w:bottom w:val="single" w:sz="12" w:space="0" w:color="auto"/>
              <w:right w:val="single" w:sz="12" w:space="0" w:color="auto"/>
            </w:tcBorders>
            <w:vAlign w:val="center"/>
          </w:tcPr>
          <w:p w:rsidR="00787A2E" w:rsidRDefault="00787A2E" w:rsidP="00787A2E">
            <w:pPr>
              <w:spacing w:after="0" w:line="240" w:lineRule="auto"/>
              <w:ind w:left="142"/>
              <w:jc w:val="both"/>
              <w:rPr>
                <w:rFonts w:ascii="Georgia" w:hAnsi="Georgia" w:cs="Arial"/>
                <w:lang w:val="es-MX"/>
              </w:rPr>
            </w:pPr>
          </w:p>
          <w:p w:rsidR="00787A2E" w:rsidRDefault="00D50D85" w:rsidP="00787A2E">
            <w:pPr>
              <w:spacing w:after="0" w:line="240" w:lineRule="auto"/>
              <w:ind w:left="142"/>
              <w:jc w:val="both"/>
              <w:rPr>
                <w:rFonts w:ascii="Georgia" w:hAnsi="Georgia" w:cs="Arial"/>
                <w:lang w:val="es-MX"/>
              </w:rPr>
            </w:pPr>
            <w:r>
              <w:rPr>
                <w:rFonts w:ascii="Georgia" w:hAnsi="Georgia" w:cs="Arial"/>
                <w:lang w:val="es-MX"/>
              </w:rPr>
              <w:t xml:space="preserve">La propuesta por el servicio </w:t>
            </w:r>
            <w:r w:rsidR="00C92D87">
              <w:rPr>
                <w:rFonts w:ascii="Georgia" w:hAnsi="Georgia" w:cs="Arial"/>
                <w:lang w:val="es-MX"/>
              </w:rPr>
              <w:t xml:space="preserve">asciende a </w:t>
            </w:r>
            <w:r w:rsidR="00C92D87">
              <w:rPr>
                <w:rFonts w:ascii="Arial" w:eastAsia="Times New Roman" w:hAnsi="Arial" w:cs="Arial"/>
                <w:sz w:val="24"/>
                <w:szCs w:val="24"/>
                <w:lang w:val="es-ES" w:eastAsia="es-ES"/>
              </w:rPr>
              <w:t xml:space="preserve">un total de </w:t>
            </w:r>
            <w:r w:rsidR="00C92D87" w:rsidRPr="00C92D87">
              <w:rPr>
                <w:rFonts w:ascii="Georgia" w:hAnsi="Georgia" w:cs="Arial"/>
                <w:lang w:val="es-MX"/>
              </w:rPr>
              <w:t>USD 2905.00, en los cuales estará incluido el monto de impuestos que la ley requiere, contra fac</w:t>
            </w:r>
            <w:r w:rsidR="00C92D87">
              <w:rPr>
                <w:rFonts w:ascii="Georgia" w:hAnsi="Georgia" w:cs="Arial"/>
                <w:lang w:val="es-MX"/>
              </w:rPr>
              <w:t xml:space="preserve">tura de servicios profesionales, 15,5%, </w:t>
            </w:r>
            <w:r w:rsidR="00C92D87" w:rsidRPr="00C92D87">
              <w:rPr>
                <w:rFonts w:ascii="Georgia" w:hAnsi="Georgia" w:cs="Arial"/>
                <w:lang w:val="es-MX"/>
              </w:rPr>
              <w:t>de la consultoría y el pago correspondiente de AFP</w:t>
            </w:r>
            <w:r w:rsidR="00C92D87">
              <w:rPr>
                <w:rFonts w:ascii="Georgia" w:hAnsi="Georgia" w:cs="Arial"/>
                <w:lang w:val="es-MX"/>
              </w:rPr>
              <w:t>, 15,42%</w:t>
            </w:r>
            <w:r w:rsidR="00787A2E">
              <w:rPr>
                <w:rFonts w:ascii="Georgia" w:hAnsi="Georgia" w:cs="Arial"/>
                <w:lang w:val="es-MX"/>
              </w:rPr>
              <w:t>.</w:t>
            </w:r>
          </w:p>
          <w:p w:rsidR="00787A2E" w:rsidRDefault="00787A2E" w:rsidP="00787A2E">
            <w:pPr>
              <w:spacing w:after="0" w:line="240" w:lineRule="auto"/>
              <w:ind w:left="142"/>
              <w:jc w:val="both"/>
              <w:rPr>
                <w:rFonts w:ascii="Georgia" w:hAnsi="Georgia" w:cs="Arial"/>
                <w:lang w:val="es-MX"/>
              </w:rPr>
            </w:pPr>
          </w:p>
          <w:p w:rsidR="00787A2E" w:rsidRPr="00787A2E" w:rsidRDefault="00787A2E" w:rsidP="00787A2E">
            <w:pPr>
              <w:spacing w:after="0" w:line="240" w:lineRule="auto"/>
              <w:ind w:left="142"/>
              <w:jc w:val="both"/>
              <w:rPr>
                <w:rFonts w:ascii="Georgia" w:hAnsi="Georgia" w:cs="Arial"/>
                <w:lang w:val="es-MX"/>
              </w:rPr>
            </w:pPr>
            <w:r w:rsidRPr="00787A2E">
              <w:rPr>
                <w:rFonts w:ascii="Georgia" w:hAnsi="Georgia" w:cs="Arial"/>
                <w:lang w:val="es-MX"/>
              </w:rPr>
              <w:t>El total líquido pagable asciende</w:t>
            </w:r>
            <w:r w:rsidRPr="00787A2E">
              <w:rPr>
                <w:rFonts w:ascii="Georgia" w:hAnsi="Georgia" w:cs="Arial"/>
                <w:lang w:val="es-MX"/>
              </w:rPr>
              <w:t xml:space="preserve"> a USD 2006,77</w:t>
            </w:r>
            <w:r>
              <w:rPr>
                <w:rFonts w:ascii="Georgia" w:hAnsi="Georgia" w:cs="Arial"/>
                <w:lang w:val="es-MX"/>
              </w:rPr>
              <w:t>.</w:t>
            </w:r>
          </w:p>
          <w:p w:rsidR="00787A2E" w:rsidRPr="00C92D87" w:rsidRDefault="00787A2E" w:rsidP="00787A2E">
            <w:pPr>
              <w:spacing w:after="0" w:line="240" w:lineRule="auto"/>
              <w:ind w:left="142"/>
              <w:jc w:val="both"/>
              <w:rPr>
                <w:rFonts w:ascii="Georgia" w:hAnsi="Georgia" w:cs="Arial"/>
                <w:lang w:val="es-MX"/>
              </w:rPr>
            </w:pPr>
          </w:p>
        </w:tc>
      </w:tr>
    </w:tbl>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bookmarkStart w:id="0" w:name="_GoBack"/>
      <w:bookmarkEnd w:id="0"/>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D50D85" w:rsidRDefault="00D50D85" w:rsidP="00D50D85">
      <w:pPr>
        <w:jc w:val="both"/>
        <w:rPr>
          <w:rFonts w:ascii="Georgia" w:hAnsi="Georgia" w:cs="Arial"/>
          <w:lang w:val="es-MX"/>
        </w:rPr>
      </w:pPr>
    </w:p>
    <w:p w:rsidR="000A3EA1" w:rsidRPr="00D50D85" w:rsidRDefault="000A3EA1">
      <w:pPr>
        <w:rPr>
          <w:lang w:val="es-MX"/>
        </w:rPr>
      </w:pPr>
    </w:p>
    <w:sectPr w:rsidR="000A3EA1" w:rsidRPr="00D50D85" w:rsidSect="0065526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81C71"/>
    <w:multiLevelType w:val="hybridMultilevel"/>
    <w:tmpl w:val="F342E616"/>
    <w:lvl w:ilvl="0" w:tplc="A03A3F0A">
      <w:start w:val="1"/>
      <w:numFmt w:val="decimal"/>
      <w:lvlText w:val="%1)"/>
      <w:lvlJc w:val="left"/>
      <w:pPr>
        <w:ind w:left="532" w:hanging="360"/>
      </w:pPr>
      <w:rPr>
        <w:rFonts w:hint="default"/>
      </w:rPr>
    </w:lvl>
    <w:lvl w:ilvl="1" w:tplc="540A0019" w:tentative="1">
      <w:start w:val="1"/>
      <w:numFmt w:val="lowerLetter"/>
      <w:lvlText w:val="%2."/>
      <w:lvlJc w:val="left"/>
      <w:pPr>
        <w:ind w:left="1252" w:hanging="360"/>
      </w:pPr>
    </w:lvl>
    <w:lvl w:ilvl="2" w:tplc="540A001B" w:tentative="1">
      <w:start w:val="1"/>
      <w:numFmt w:val="lowerRoman"/>
      <w:lvlText w:val="%3."/>
      <w:lvlJc w:val="right"/>
      <w:pPr>
        <w:ind w:left="1972" w:hanging="180"/>
      </w:pPr>
    </w:lvl>
    <w:lvl w:ilvl="3" w:tplc="540A000F" w:tentative="1">
      <w:start w:val="1"/>
      <w:numFmt w:val="decimal"/>
      <w:lvlText w:val="%4."/>
      <w:lvlJc w:val="left"/>
      <w:pPr>
        <w:ind w:left="2692" w:hanging="360"/>
      </w:pPr>
    </w:lvl>
    <w:lvl w:ilvl="4" w:tplc="540A0019" w:tentative="1">
      <w:start w:val="1"/>
      <w:numFmt w:val="lowerLetter"/>
      <w:lvlText w:val="%5."/>
      <w:lvlJc w:val="left"/>
      <w:pPr>
        <w:ind w:left="3412" w:hanging="360"/>
      </w:pPr>
    </w:lvl>
    <w:lvl w:ilvl="5" w:tplc="540A001B" w:tentative="1">
      <w:start w:val="1"/>
      <w:numFmt w:val="lowerRoman"/>
      <w:lvlText w:val="%6."/>
      <w:lvlJc w:val="right"/>
      <w:pPr>
        <w:ind w:left="4132" w:hanging="180"/>
      </w:pPr>
    </w:lvl>
    <w:lvl w:ilvl="6" w:tplc="540A000F" w:tentative="1">
      <w:start w:val="1"/>
      <w:numFmt w:val="decimal"/>
      <w:lvlText w:val="%7."/>
      <w:lvlJc w:val="left"/>
      <w:pPr>
        <w:ind w:left="4852" w:hanging="360"/>
      </w:pPr>
    </w:lvl>
    <w:lvl w:ilvl="7" w:tplc="540A0019" w:tentative="1">
      <w:start w:val="1"/>
      <w:numFmt w:val="lowerLetter"/>
      <w:lvlText w:val="%8."/>
      <w:lvlJc w:val="left"/>
      <w:pPr>
        <w:ind w:left="5572" w:hanging="360"/>
      </w:pPr>
    </w:lvl>
    <w:lvl w:ilvl="8" w:tplc="540A001B" w:tentative="1">
      <w:start w:val="1"/>
      <w:numFmt w:val="lowerRoman"/>
      <w:lvlText w:val="%9."/>
      <w:lvlJc w:val="right"/>
      <w:pPr>
        <w:ind w:left="6292" w:hanging="180"/>
      </w:pPr>
    </w:lvl>
  </w:abstractNum>
  <w:abstractNum w:abstractNumId="1">
    <w:nsid w:val="1FD7272D"/>
    <w:multiLevelType w:val="hybridMultilevel"/>
    <w:tmpl w:val="91A86270"/>
    <w:lvl w:ilvl="0" w:tplc="DAA0B090">
      <w:start w:val="1"/>
      <w:numFmt w:val="lowerLetter"/>
      <w:lvlText w:val="%1)"/>
      <w:lvlJc w:val="left"/>
      <w:pPr>
        <w:ind w:left="532" w:hanging="360"/>
      </w:pPr>
      <w:rPr>
        <w:rFonts w:ascii="Georgia" w:eastAsia="Times New Roman" w:hAnsi="Georgia" w:cs="Arial"/>
      </w:rPr>
    </w:lvl>
    <w:lvl w:ilvl="1" w:tplc="540A0003" w:tentative="1">
      <w:start w:val="1"/>
      <w:numFmt w:val="bullet"/>
      <w:lvlText w:val="o"/>
      <w:lvlJc w:val="left"/>
      <w:pPr>
        <w:ind w:left="1252" w:hanging="360"/>
      </w:pPr>
      <w:rPr>
        <w:rFonts w:ascii="Courier New" w:hAnsi="Courier New" w:cs="Courier New" w:hint="default"/>
      </w:rPr>
    </w:lvl>
    <w:lvl w:ilvl="2" w:tplc="540A0005" w:tentative="1">
      <w:start w:val="1"/>
      <w:numFmt w:val="bullet"/>
      <w:lvlText w:val=""/>
      <w:lvlJc w:val="left"/>
      <w:pPr>
        <w:ind w:left="1972" w:hanging="360"/>
      </w:pPr>
      <w:rPr>
        <w:rFonts w:ascii="Wingdings" w:hAnsi="Wingdings" w:hint="default"/>
      </w:rPr>
    </w:lvl>
    <w:lvl w:ilvl="3" w:tplc="540A0001" w:tentative="1">
      <w:start w:val="1"/>
      <w:numFmt w:val="bullet"/>
      <w:lvlText w:val=""/>
      <w:lvlJc w:val="left"/>
      <w:pPr>
        <w:ind w:left="2692" w:hanging="360"/>
      </w:pPr>
      <w:rPr>
        <w:rFonts w:ascii="Symbol" w:hAnsi="Symbol" w:hint="default"/>
      </w:rPr>
    </w:lvl>
    <w:lvl w:ilvl="4" w:tplc="540A0003" w:tentative="1">
      <w:start w:val="1"/>
      <w:numFmt w:val="bullet"/>
      <w:lvlText w:val="o"/>
      <w:lvlJc w:val="left"/>
      <w:pPr>
        <w:ind w:left="3412" w:hanging="360"/>
      </w:pPr>
      <w:rPr>
        <w:rFonts w:ascii="Courier New" w:hAnsi="Courier New" w:cs="Courier New" w:hint="default"/>
      </w:rPr>
    </w:lvl>
    <w:lvl w:ilvl="5" w:tplc="540A0005" w:tentative="1">
      <w:start w:val="1"/>
      <w:numFmt w:val="bullet"/>
      <w:lvlText w:val=""/>
      <w:lvlJc w:val="left"/>
      <w:pPr>
        <w:ind w:left="4132" w:hanging="360"/>
      </w:pPr>
      <w:rPr>
        <w:rFonts w:ascii="Wingdings" w:hAnsi="Wingdings" w:hint="default"/>
      </w:rPr>
    </w:lvl>
    <w:lvl w:ilvl="6" w:tplc="540A0001" w:tentative="1">
      <w:start w:val="1"/>
      <w:numFmt w:val="bullet"/>
      <w:lvlText w:val=""/>
      <w:lvlJc w:val="left"/>
      <w:pPr>
        <w:ind w:left="4852" w:hanging="360"/>
      </w:pPr>
      <w:rPr>
        <w:rFonts w:ascii="Symbol" w:hAnsi="Symbol" w:hint="default"/>
      </w:rPr>
    </w:lvl>
    <w:lvl w:ilvl="7" w:tplc="540A0003" w:tentative="1">
      <w:start w:val="1"/>
      <w:numFmt w:val="bullet"/>
      <w:lvlText w:val="o"/>
      <w:lvlJc w:val="left"/>
      <w:pPr>
        <w:ind w:left="5572" w:hanging="360"/>
      </w:pPr>
      <w:rPr>
        <w:rFonts w:ascii="Courier New" w:hAnsi="Courier New" w:cs="Courier New" w:hint="default"/>
      </w:rPr>
    </w:lvl>
    <w:lvl w:ilvl="8" w:tplc="540A0005" w:tentative="1">
      <w:start w:val="1"/>
      <w:numFmt w:val="bullet"/>
      <w:lvlText w:val=""/>
      <w:lvlJc w:val="left"/>
      <w:pPr>
        <w:ind w:left="6292" w:hanging="360"/>
      </w:pPr>
      <w:rPr>
        <w:rFonts w:ascii="Wingdings" w:hAnsi="Wingdings" w:hint="default"/>
      </w:rPr>
    </w:lvl>
  </w:abstractNum>
  <w:abstractNum w:abstractNumId="2">
    <w:nsid w:val="232734C3"/>
    <w:multiLevelType w:val="hybridMultilevel"/>
    <w:tmpl w:val="8FEAA1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42AD25A0"/>
    <w:multiLevelType w:val="hybridMultilevel"/>
    <w:tmpl w:val="39E8FCDA"/>
    <w:lvl w:ilvl="0" w:tplc="400A0017">
      <w:start w:val="1"/>
      <w:numFmt w:val="lowerLetter"/>
      <w:lvlText w:val="%1)"/>
      <w:lvlJc w:val="left"/>
      <w:pPr>
        <w:ind w:left="780" w:hanging="360"/>
      </w:pPr>
    </w:lvl>
    <w:lvl w:ilvl="1" w:tplc="400A0019" w:tentative="1">
      <w:start w:val="1"/>
      <w:numFmt w:val="lowerLetter"/>
      <w:lvlText w:val="%2."/>
      <w:lvlJc w:val="left"/>
      <w:pPr>
        <w:ind w:left="1500" w:hanging="360"/>
      </w:pPr>
    </w:lvl>
    <w:lvl w:ilvl="2" w:tplc="400A001B" w:tentative="1">
      <w:start w:val="1"/>
      <w:numFmt w:val="lowerRoman"/>
      <w:lvlText w:val="%3."/>
      <w:lvlJc w:val="right"/>
      <w:pPr>
        <w:ind w:left="2220" w:hanging="180"/>
      </w:pPr>
    </w:lvl>
    <w:lvl w:ilvl="3" w:tplc="400A000F" w:tentative="1">
      <w:start w:val="1"/>
      <w:numFmt w:val="decimal"/>
      <w:lvlText w:val="%4."/>
      <w:lvlJc w:val="left"/>
      <w:pPr>
        <w:ind w:left="2940" w:hanging="360"/>
      </w:pPr>
    </w:lvl>
    <w:lvl w:ilvl="4" w:tplc="400A0019" w:tentative="1">
      <w:start w:val="1"/>
      <w:numFmt w:val="lowerLetter"/>
      <w:lvlText w:val="%5."/>
      <w:lvlJc w:val="left"/>
      <w:pPr>
        <w:ind w:left="3660" w:hanging="360"/>
      </w:pPr>
    </w:lvl>
    <w:lvl w:ilvl="5" w:tplc="400A001B" w:tentative="1">
      <w:start w:val="1"/>
      <w:numFmt w:val="lowerRoman"/>
      <w:lvlText w:val="%6."/>
      <w:lvlJc w:val="right"/>
      <w:pPr>
        <w:ind w:left="4380" w:hanging="180"/>
      </w:pPr>
    </w:lvl>
    <w:lvl w:ilvl="6" w:tplc="400A000F" w:tentative="1">
      <w:start w:val="1"/>
      <w:numFmt w:val="decimal"/>
      <w:lvlText w:val="%7."/>
      <w:lvlJc w:val="left"/>
      <w:pPr>
        <w:ind w:left="5100" w:hanging="360"/>
      </w:pPr>
    </w:lvl>
    <w:lvl w:ilvl="7" w:tplc="400A0019" w:tentative="1">
      <w:start w:val="1"/>
      <w:numFmt w:val="lowerLetter"/>
      <w:lvlText w:val="%8."/>
      <w:lvlJc w:val="left"/>
      <w:pPr>
        <w:ind w:left="5820" w:hanging="360"/>
      </w:pPr>
    </w:lvl>
    <w:lvl w:ilvl="8" w:tplc="400A001B" w:tentative="1">
      <w:start w:val="1"/>
      <w:numFmt w:val="lowerRoman"/>
      <w:lvlText w:val="%9."/>
      <w:lvlJc w:val="right"/>
      <w:pPr>
        <w:ind w:left="6540" w:hanging="180"/>
      </w:pPr>
    </w:lvl>
  </w:abstractNum>
  <w:abstractNum w:abstractNumId="4">
    <w:nsid w:val="4F9A7F72"/>
    <w:multiLevelType w:val="hybridMultilevel"/>
    <w:tmpl w:val="E17A9E9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5EF05942"/>
    <w:multiLevelType w:val="hybridMultilevel"/>
    <w:tmpl w:val="6A1E84DA"/>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6">
    <w:nsid w:val="7EA96359"/>
    <w:multiLevelType w:val="hybridMultilevel"/>
    <w:tmpl w:val="3D6A72F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85"/>
    <w:rsid w:val="000A3EA1"/>
    <w:rsid w:val="0018547A"/>
    <w:rsid w:val="001F5B2F"/>
    <w:rsid w:val="00655261"/>
    <w:rsid w:val="00693E65"/>
    <w:rsid w:val="00756C10"/>
    <w:rsid w:val="00787A2E"/>
    <w:rsid w:val="00801303"/>
    <w:rsid w:val="00C06B9C"/>
    <w:rsid w:val="00C92D87"/>
    <w:rsid w:val="00D50D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919DB-DE16-445A-9E50-D009E0E2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8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85"/>
    <w:pPr>
      <w:ind w:left="720"/>
      <w:contextualSpacing/>
    </w:pPr>
  </w:style>
  <w:style w:type="table" w:styleId="Tablaconcuadrcula">
    <w:name w:val="Table Grid"/>
    <w:basedOn w:val="Tablanormal"/>
    <w:rsid w:val="00D50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50D85"/>
    <w:rPr>
      <w:color w:val="0563C1" w:themeColor="hyperlink"/>
      <w:u w:val="single"/>
    </w:rPr>
  </w:style>
  <w:style w:type="paragraph" w:styleId="Textodeglobo">
    <w:name w:val="Balloon Text"/>
    <w:basedOn w:val="Normal"/>
    <w:link w:val="TextodegloboCar"/>
    <w:uiPriority w:val="99"/>
    <w:semiHidden/>
    <w:unhideWhenUsed/>
    <w:rsid w:val="006552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2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e766@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WeEffect</dc:creator>
  <cp:keywords/>
  <dc:description/>
  <cp:lastModifiedBy>WeEffect</cp:lastModifiedBy>
  <cp:revision>5</cp:revision>
  <cp:lastPrinted>2019-03-18T22:17:00Z</cp:lastPrinted>
  <dcterms:created xsi:type="dcterms:W3CDTF">2019-03-18T21:34:00Z</dcterms:created>
  <dcterms:modified xsi:type="dcterms:W3CDTF">2019-03-18T22:20:00Z</dcterms:modified>
</cp:coreProperties>
</file>