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Yellow Zone Infrastructure Review Checklist</w:t>
      </w:r>
    </w:p>
    <w:p>
      <w:r>
        <w:t>Complete before approving a Copilot agent, Power Automate flow, or Power App for deployment. Record evidence or notes for each item; mark items N/A where appropriate.</w:t>
      </w:r>
    </w:p>
    <w:p>
      <w:pPr>
        <w:spacing w:after="100"/>
      </w:pPr>
      <w:r>
        <w:rPr>
          <w:b/>
        </w:rPr>
        <w:t xml:space="preserve">Submission reference: </w:t>
      </w:r>
      <w:r>
        <w:t>___________________________________________</w:t>
      </w:r>
    </w:p>
    <w:p>
      <w:pPr>
        <w:spacing w:after="100"/>
      </w:pPr>
      <w:r>
        <w:rPr>
          <w:b/>
        </w:rPr>
        <w:t xml:space="preserve">Application name: </w:t>
      </w:r>
      <w:r>
        <w:t>___________________________________________</w:t>
      </w:r>
    </w:p>
    <w:p>
      <w:pPr>
        <w:spacing w:after="100"/>
      </w:pPr>
      <w:r>
        <w:rPr>
          <w:b/>
        </w:rPr>
        <w:t xml:space="preserve">Infrastructure reviewer: </w:t>
      </w:r>
      <w:r>
        <w:t>___________________________________________</w:t>
      </w:r>
    </w:p>
    <w:p>
      <w:pPr>
        <w:spacing w:after="100"/>
      </w:pPr>
      <w:r>
        <w:rPr>
          <w:b/>
        </w:rPr>
        <w:t xml:space="preserve">Review date: </w:t>
      </w:r>
      <w:r>
        <w:t>___________________________________________</w:t>
      </w:r>
    </w:p>
    <w:p>
      <w:pPr>
        <w:spacing w:after="100"/>
      </w:pPr>
      <w:r>
        <w:rPr>
          <w:b/>
        </w:rPr>
        <w:t xml:space="preserve">Target environment: </w:t>
      </w:r>
      <w:r>
        <w:t>___________________________________________</w:t>
      </w:r>
    </w:p>
    <w:p>
      <w:pPr>
        <w:pStyle w:val="Heading1"/>
      </w:pPr>
      <w:r>
        <w:t>Submission and ownership</w:t>
      </w:r>
    </w:p>
    <w:p>
      <w:pPr>
        <w:keepLines/>
        <w:ind w:left="317" w:hanging="317"/>
      </w:pPr>
      <w:r>
        <w:rPr>
          <w:rFonts w:ascii="DejaVu Sans" w:hAnsi="DejaVu Sans"/>
        </w:rPr>
        <w:t xml:space="preserve">☐  </w:t>
      </w:r>
      <w:r>
        <w:t>Submission is stored in the designated location and has a unique reference number.</w:t>
      </w:r>
    </w:p>
    <w:p>
      <w:pPr>
        <w:keepLines/>
        <w:ind w:left="317" w:hanging="317"/>
      </w:pPr>
      <w:r>
        <w:rPr>
          <w:rFonts w:ascii="DejaVu Sans" w:hAnsi="DejaVu Sans"/>
        </w:rPr>
        <w:t xml:space="preserve">☐  </w:t>
      </w:r>
      <w:r>
        <w:t>Application purpose, author, business owner, intended audience, and estimated user count are documented.</w:t>
      </w:r>
    </w:p>
    <w:p>
      <w:pPr>
        <w:keepLines/>
        <w:ind w:left="317" w:hanging="317"/>
      </w:pPr>
      <w:r>
        <w:rPr>
          <w:rFonts w:ascii="DejaVu Sans" w:hAnsi="DejaVu Sans"/>
        </w:rPr>
        <w:t xml:space="preserve">☐  </w:t>
      </w:r>
      <w:r>
        <w:t>An owner and backup owner are identified.</w:t>
      </w:r>
    </w:p>
    <w:p>
      <w:pPr>
        <w:pStyle w:val="Heading1"/>
      </w:pPr>
      <w:r>
        <w:t>Environment and access</w:t>
      </w:r>
    </w:p>
    <w:p>
      <w:pPr>
        <w:keepLines/>
        <w:ind w:left="317" w:hanging="317"/>
      </w:pPr>
      <w:r>
        <w:rPr>
          <w:rFonts w:ascii="DejaVu Sans" w:hAnsi="DejaVu Sans"/>
        </w:rPr>
        <w:t xml:space="preserve">☐  </w:t>
      </w:r>
      <w:r>
        <w:t>Current and target environments are identified and appropriate for the application’s data and audience.</w:t>
      </w:r>
    </w:p>
    <w:p>
      <w:pPr>
        <w:keepLines/>
        <w:ind w:left="317" w:hanging="317"/>
      </w:pPr>
      <w:r>
        <w:rPr>
          <w:rFonts w:ascii="DejaVu Sans" w:hAnsi="DejaVu Sans"/>
        </w:rPr>
        <w:t xml:space="preserve">☐  </w:t>
      </w:r>
      <w:r>
        <w:t>Environment access, security groups, and administrative roles follow least privilege.</w:t>
      </w:r>
    </w:p>
    <w:p>
      <w:pPr>
        <w:keepLines/>
        <w:ind w:left="317" w:hanging="317"/>
      </w:pPr>
      <w:r>
        <w:rPr>
          <w:rFonts w:ascii="DejaVu Sans" w:hAnsi="DejaVu Sans"/>
        </w:rPr>
        <w:t xml:space="preserve">☐  </w:t>
      </w:r>
      <w:r>
        <w:t>Required licenses, available capacity, and expected operating costs are confirmed.</w:t>
      </w:r>
    </w:p>
    <w:p>
      <w:pPr>
        <w:pStyle w:val="Heading1"/>
      </w:pPr>
      <w:r>
        <w:t>Connections and data protection</w:t>
      </w:r>
    </w:p>
    <w:p>
      <w:pPr>
        <w:keepLines/>
        <w:ind w:left="317" w:hanging="317"/>
      </w:pPr>
      <w:r>
        <w:rPr>
          <w:rFonts w:ascii="DejaVu Sans" w:hAnsi="DejaVu Sans"/>
        </w:rPr>
        <w:t xml:space="preserve">☐  </w:t>
      </w:r>
      <w:r>
        <w:t>Connectors, APIs, flows, custom components, and external dependencies are inventoried.</w:t>
      </w:r>
    </w:p>
    <w:p>
      <w:pPr>
        <w:keepLines/>
        <w:ind w:left="317" w:hanging="317"/>
      </w:pPr>
      <w:r>
        <w:rPr>
          <w:rFonts w:ascii="DejaVu Sans" w:hAnsi="DejaVu Sans"/>
        </w:rPr>
        <w:t xml:space="preserve">☐  </w:t>
      </w:r>
      <w:r>
        <w:t>Connections use approved identities with only the permissions required.</w:t>
      </w:r>
    </w:p>
    <w:p>
      <w:pPr>
        <w:keepLines/>
        <w:ind w:left="317" w:hanging="317"/>
      </w:pPr>
      <w:r>
        <w:rPr>
          <w:rFonts w:ascii="DejaVu Sans" w:hAnsi="DejaVu Sans"/>
        </w:rPr>
        <w:t xml:space="preserve">☐  </w:t>
      </w:r>
      <w:r>
        <w:t>Credentials and secrets are stored securely, with ownership and renewal responsibilities documented.</w:t>
      </w:r>
    </w:p>
    <w:p>
      <w:pPr>
        <w:keepLines/>
        <w:ind w:left="317" w:hanging="317"/>
      </w:pPr>
      <w:r>
        <w:rPr>
          <w:rFonts w:ascii="DejaVu Sans" w:hAnsi="DejaVu Sans"/>
        </w:rPr>
        <w:t xml:space="preserve">☐  </w:t>
      </w:r>
      <w:r>
        <w:t>Knowledge sources and storage locations are documented, with appropriate access permissions.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Yellow Zone Infrastructure Review Checklist</dc:title>
  <dc:subject>Infrastructure review before deployment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