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SUPREME COURT OF THE STATE OF NEW YORK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COUNTY OF NEW YORK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Application of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ab/>
        <w:tab/>
        <w:tab/>
        <w:tab/>
        <w:tab/>
        <w:tab/>
        <w:tab/>
        <w:t xml:space="preserve">Index Number: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ALEX MORGAN BELL</w:t>
      </w: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ab/>
        <w:t xml:space="preserve">Petitioner,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For a Judgment Pursuant to CPLR Article 78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 xml:space="preserve">-against-</w:t>
        <w:tab/>
        <w:tab/>
        <w:tab/>
        <w:tab/>
        <w:tab/>
        <w:tab/>
        <w:t xml:space="preserve">AFFIRMATION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ab/>
        <w:tab/>
        <w:tab/>
        <w:tab/>
        <w:tab/>
        <w:tab/>
        <w:tab/>
        <w:t xml:space="preserve">IN SUPPORT OF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CITY OF NEW YORK,</w:t>
        <w:tab/>
        <w:tab/>
        <w:tab/>
        <w:tab/>
        <w:tab/>
        <w:t xml:space="preserve">PETITION</w:t>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NEW YORK CITY POLICE DEPARTMENT, </w:t>
        <w:tab/>
        <w:br w:type="textWrapping"/>
        <w:t xml:space="preserve">WILLIAM BRATTON, Commissioner in 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Official capacity,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ab/>
        <w:t xml:space="preserve">Respondents.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---------------------------------------------------------------------X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Libre Baskerville" w:cs="Libre Baskerville" w:eastAsia="Libre Baskerville" w:hAnsi="Libre Baskerville"/>
          <w:sz w:val="20"/>
          <w:szCs w:val="20"/>
          <w:vertAlign w:val="baseline"/>
          <w:rtl w:val="0"/>
        </w:rPr>
        <w:tab/>
        <w:t xml:space="preserve">ELISA BARNES, an attorney duly licensed to practice law before the courts of this state, hereby affirms as follows under penalty of perjury pursuant to CPLR 2106:</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Libre Baskerville" w:cs="Libre Baskerville" w:eastAsia="Libre Baskerville" w:hAnsi="Libre Baskerville"/>
          <w:sz w:val="20"/>
          <w:szCs w:val="20"/>
          <w:vertAlign w:val="baseline"/>
          <w:rtl w:val="0"/>
        </w:rPr>
        <w:t xml:space="preserve">I am the attorney for Alex Bell, petitioner herein, and as such I am fully familiar with the facts and proceedings heretofore has herein.  I submit this affirmation in support of petitioner’s verified petition for an order pursuant to CPLR Section 7806: </w:t>
      </w:r>
      <w:r w:rsidDel="00000000" w:rsidR="00000000" w:rsidRPr="00000000">
        <w:rPr>
          <w:rtl w:val="0"/>
        </w:rPr>
      </w:r>
    </w:p>
    <w:p w:rsidR="00000000" w:rsidDel="00000000" w:rsidP="00000000" w:rsidRDefault="00000000" w:rsidRPr="00000000">
      <w:pPr>
        <w:numPr>
          <w:ilvl w:val="0"/>
          <w:numId w:val="4"/>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Petitioner is a resident of the City and State of New York and is over eighteen years of age. Petitioner seeks this data for non-commercial purposes. </w:t>
      </w:r>
      <w:r w:rsidDel="00000000" w:rsidR="00000000" w:rsidRPr="00000000">
        <w:rPr>
          <w:rtl w:val="0"/>
        </w:rPr>
      </w:r>
    </w:p>
    <w:p w:rsidR="00000000" w:rsidDel="00000000" w:rsidP="00000000" w:rsidRDefault="00000000" w:rsidRPr="00000000">
      <w:pPr>
        <w:numPr>
          <w:ilvl w:val="0"/>
          <w:numId w:val="4"/>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Petitioner has exhausted all administrative remedies.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ind w:left="1440" w:hanging="720"/>
        <w:contextualSpacing w:val="0"/>
      </w:pPr>
      <w:r w:rsidDel="00000000" w:rsidR="00000000" w:rsidRPr="00000000">
        <w:rPr>
          <w:sz w:val="20"/>
          <w:szCs w:val="20"/>
          <w:u w:val="single"/>
          <w:vertAlign w:val="baseline"/>
          <w:rtl w:val="0"/>
        </w:rPr>
        <w:t xml:space="preserve">APPLICATION FOR WRIT OF MANDAMUS TO COMPEL DISCLOSURE</w:t>
      </w:r>
      <w:r w:rsidDel="00000000" w:rsidR="00000000" w:rsidRPr="00000000">
        <w:rPr>
          <w:rtl w:val="0"/>
        </w:rPr>
      </w:r>
    </w:p>
    <w:p w:rsidR="00000000" w:rsidDel="00000000" w:rsidP="00000000" w:rsidRDefault="00000000" w:rsidRPr="00000000">
      <w:pPr>
        <w:ind w:left="1440" w:hanging="720"/>
        <w:contextualSpacing w:val="0"/>
      </w:pPr>
      <w:r w:rsidDel="00000000" w:rsidR="00000000" w:rsidRPr="00000000">
        <w:rPr>
          <w:rtl w:val="0"/>
        </w:rPr>
      </w:r>
    </w:p>
    <w:p w:rsidR="00000000" w:rsidDel="00000000" w:rsidP="00000000" w:rsidRDefault="00000000" w:rsidRPr="00000000">
      <w:pPr>
        <w:numPr>
          <w:ilvl w:val="0"/>
          <w:numId w:val="4"/>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Respondents improperly denied petitioner’s request for data on the grounds of Public Officer Law Section 87 (2)(a) referencing Civil Rights Law Section 50-a and Public Officer Law Section 87 (2)(e).  Neither claimed exemption from the Department’s duty of broad public disclosure has merit.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Libre Baskerville" w:cs="Libre Baskerville" w:eastAsia="Libre Baskerville" w:hAnsi="Libre Baskerville"/>
          <w:sz w:val="20"/>
          <w:szCs w:val="20"/>
          <w:vertAlign w:val="baseline"/>
          <w:rtl w:val="0"/>
        </w:rPr>
        <w:t xml:space="preserve">4.</w:t>
        <w:tab/>
        <w:t xml:space="preserve">Public Officer Law Section 87 (2) (a) provides that</w:t>
      </w:r>
      <w:r w:rsidDel="00000000" w:rsidR="00000000" w:rsidRPr="00000000">
        <w:rPr>
          <w:rFonts w:ascii="Verdana" w:cs="Verdana" w:eastAsia="Verdana" w:hAnsi="Verdana"/>
          <w:color w:val="333333"/>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Each agency shall, in accordance with its published rules, make available for public inspection and copying all records, except that such agency may deny access to records or portions thereof that:</w:t>
      </w:r>
      <w:r w:rsidDel="00000000" w:rsidR="00000000" w:rsidRPr="00000000">
        <w:rPr>
          <w:rFonts w:ascii="Libre Baskerville" w:cs="Libre Baskerville" w:eastAsia="Libre Baskerville" w:hAnsi="Libre Baskerville"/>
          <w:color w:val="333333"/>
          <w:sz w:val="20"/>
          <w:szCs w:val="20"/>
          <w:vertAlign w:val="baseline"/>
          <w:rtl w:val="0"/>
        </w:rPr>
        <w:br w:type="textWrapping"/>
        <w:br w:type="textWrapping"/>
      </w: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     </w:t>
      </w:r>
      <w:r w:rsidDel="00000000" w:rsidR="00000000" w:rsidRPr="00000000">
        <w:rPr>
          <w:rFonts w:ascii="Libre Baskerville" w:cs="Libre Baskerville" w:eastAsia="Libre Baskerville" w:hAnsi="Libre Baskerville"/>
          <w:b w:val="1"/>
          <w:color w:val="333333"/>
          <w:sz w:val="20"/>
          <w:szCs w:val="20"/>
          <w:highlight w:val="white"/>
          <w:vertAlign w:val="baseline"/>
          <w:rtl w:val="0"/>
        </w:rPr>
        <w:t xml:space="preserve">(</w:t>
      </w: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a)</w:t>
      </w:r>
      <w:r w:rsidDel="00000000" w:rsidR="00000000" w:rsidRPr="00000000">
        <w:rPr>
          <w:rFonts w:ascii="Libre Baskerville" w:cs="Libre Baskerville" w:eastAsia="Libre Baskerville" w:hAnsi="Libre Baskerville"/>
          <w:b w:val="1"/>
          <w:color w:val="333333"/>
          <w:sz w:val="20"/>
          <w:szCs w:val="20"/>
          <w:highlight w:val="white"/>
          <w:vertAlign w:val="baseline"/>
          <w:rtl w:val="0"/>
        </w:rPr>
        <w:t xml:space="preserve"> </w:t>
      </w: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are specifically exempted from disclosure by state or federal statute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Public Officer Law Section 87 (2)(a)(McKinney’s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The state statute relied on for their exemption is Civil Rights Law Section 50-a, which exempts from public disclosure “all personnel records used to evaluate performance toward continued employment or promotion”.  </w:t>
      </w: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Nothing in petitioner’s request for aggregate, non-personally identifiable data can affect the performance evaluation for continued employment for any employee.  Again the information requested is demographic, aggregate residency data, not specific information for individual employees. </w:t>
      </w: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color w:val="000000"/>
          <w:sz w:val="20"/>
          <w:szCs w:val="20"/>
          <w:highlight w:val="white"/>
        </w:rPr>
      </w:pPr>
      <w:r w:rsidDel="00000000" w:rsidR="00000000" w:rsidRPr="00000000">
        <w:rPr>
          <w:rFonts w:ascii="Libre Baskerville" w:cs="Libre Baskerville" w:eastAsia="Libre Baskerville" w:hAnsi="Libre Baskerville"/>
          <w:sz w:val="20"/>
          <w:szCs w:val="20"/>
          <w:vertAlign w:val="baseline"/>
          <w:rtl w:val="0"/>
        </w:rPr>
        <w:t xml:space="preserve">A plain language reading of the statute does not support </w:t>
      </w:r>
      <w:r w:rsidDel="00000000" w:rsidR="00000000" w:rsidRPr="00000000">
        <w:rPr>
          <w:rFonts w:ascii="Libre Baskerville" w:cs="Libre Baskerville" w:eastAsia="Libre Baskerville" w:hAnsi="Libre Baskerville"/>
          <w:sz w:val="20"/>
          <w:szCs w:val="20"/>
          <w:rtl w:val="0"/>
        </w:rPr>
        <w:t xml:space="preserve">respondents’ </w:t>
      </w:r>
      <w:r w:rsidDel="00000000" w:rsidR="00000000" w:rsidRPr="00000000">
        <w:rPr>
          <w:rFonts w:ascii="Libre Baskerville" w:cs="Libre Baskerville" w:eastAsia="Libre Baskerville" w:hAnsi="Libre Baskerville"/>
          <w:sz w:val="20"/>
          <w:szCs w:val="20"/>
          <w:vertAlign w:val="baseline"/>
          <w:rtl w:val="0"/>
        </w:rPr>
        <w:t xml:space="preserve">position; neither does the legislative history offer any justification for the instant rejection. </w:t>
      </w:r>
      <w:r w:rsidDel="00000000" w:rsidR="00000000" w:rsidRPr="00000000">
        <w:rPr>
          <w:rFonts w:ascii="Libre Baskerville" w:cs="Libre Baskerville" w:eastAsia="Libre Baskerville" w:hAnsi="Libre Baskerville"/>
          <w:sz w:val="20"/>
          <w:szCs w:val="20"/>
          <w:u w:val="single"/>
          <w:vertAlign w:val="baseline"/>
          <w:rtl w:val="0"/>
        </w:rPr>
        <w:t xml:space="preserve">See</w:t>
      </w:r>
      <w:r w:rsidDel="00000000" w:rsidR="00000000" w:rsidRPr="00000000">
        <w:rPr>
          <w:rFonts w:ascii="Libre Baskerville" w:cs="Libre Baskerville" w:eastAsia="Libre Baskerville" w:hAnsi="Libre Baskerville"/>
          <w:sz w:val="20"/>
          <w:szCs w:val="20"/>
          <w:vertAlign w:val="baseline"/>
          <w:rtl w:val="0"/>
        </w:rPr>
        <w:t xml:space="preserve"> </w:t>
      </w:r>
      <w:r w:rsidDel="00000000" w:rsidR="00000000" w:rsidRPr="00000000">
        <w:rPr>
          <w:rFonts w:ascii="Libre Baskerville" w:cs="Libre Baskerville" w:eastAsia="Libre Baskerville" w:hAnsi="Libre Baskerville"/>
          <w:sz w:val="20"/>
          <w:szCs w:val="20"/>
          <w:u w:val="single"/>
          <w:vertAlign w:val="baseline"/>
          <w:rtl w:val="0"/>
        </w:rPr>
        <w:t xml:space="preserve">Prisoner’s Legal Services v. New York State Dep’t of Corrections</w:t>
      </w:r>
      <w:r w:rsidDel="00000000" w:rsidR="00000000" w:rsidRPr="00000000">
        <w:rPr>
          <w:rFonts w:ascii="Libre Baskerville" w:cs="Libre Baskerville" w:eastAsia="Libre Baskerville" w:hAnsi="Libre Baskerville"/>
          <w:sz w:val="20"/>
          <w:szCs w:val="20"/>
          <w:vertAlign w:val="baseline"/>
          <w:rtl w:val="0"/>
        </w:rPr>
        <w:t xml:space="preserve">, 73 N.Y.2d 26, 31-32 (1988) (“the legislative purpose underlying section 50-a …was the same: to protect the officers from the use of records –including unsubstantiated and irrelevant complaints of misconduct—as a means for harassment and reprisals and for purposes of cross-examination by plaintiff’s counsel during litigation” citations omitted) </w:t>
      </w: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color w:val="000000"/>
          <w:sz w:val="20"/>
          <w:szCs w:val="20"/>
          <w:highlight w:val="white"/>
        </w:rPr>
      </w:pPr>
      <w:r w:rsidDel="00000000" w:rsidR="00000000" w:rsidRPr="00000000">
        <w:rPr>
          <w:rFonts w:ascii="Libre Baskerville" w:cs="Libre Baskerville" w:eastAsia="Libre Baskerville" w:hAnsi="Libre Baskerville"/>
          <w:sz w:val="20"/>
          <w:szCs w:val="20"/>
          <w:vertAlign w:val="baseline"/>
          <w:rtl w:val="0"/>
        </w:rPr>
        <w:t xml:space="preserve">As the Court of Appeals has repeatedly held: there </w:t>
      </w: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must be a showing that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the requested information "falls squarely within a FOIL exemption by articulating a particularized and specific justification for denying access" </w:t>
      </w:r>
      <w:r w:rsidDel="00000000" w:rsidR="00000000" w:rsidRPr="00000000">
        <w:rPr>
          <w:rFonts w:ascii="Libre Baskerville" w:cs="Libre Baskerville" w:eastAsia="Libre Baskerville" w:hAnsi="Libre Baskerville"/>
          <w:color w:val="000000"/>
          <w:sz w:val="20"/>
          <w:szCs w:val="20"/>
          <w:highlight w:val="white"/>
          <w:u w:val="single"/>
          <w:vertAlign w:val="baseline"/>
          <w:rtl w:val="0"/>
        </w:rPr>
        <w:t xml:space="preserve">Capital Newspapers Div. of Hearst Corp. v. Burns</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67 N.Y.2d 576 (1986).  The party objecting to disclosure bears the burden of proving the applicability of the exemption. </w:t>
      </w:r>
      <w:r w:rsidDel="00000000" w:rsidR="00000000" w:rsidRPr="00000000">
        <w:rPr>
          <w:rFonts w:ascii="Libre Baskerville" w:cs="Libre Baskerville" w:eastAsia="Libre Baskerville" w:hAnsi="Libre Baskerville"/>
          <w:color w:val="000000"/>
          <w:sz w:val="20"/>
          <w:szCs w:val="20"/>
          <w:highlight w:val="white"/>
          <w:u w:val="single"/>
          <w:vertAlign w:val="baseline"/>
          <w:rtl w:val="0"/>
        </w:rPr>
        <w:t xml:space="preserve">Matter of Data Tree LLC v. Romaine</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9 N.Y.3d 454, 463 (2007).</w:t>
      </w: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color w:val="000000"/>
          <w:sz w:val="20"/>
          <w:szCs w:val="20"/>
          <w:highlight w:val="white"/>
        </w:rPr>
      </w:pP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Respondents also rely on Public Officers Law Section 87 (2)(e)</w:t>
      </w: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 to support their denial of petitioner’s request.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Section 87 (2) (e) provides in pertinent part: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Each agency shall, in accordance with its published rules, make available for public inspection and copying all records, except that such agency may deny access to records or portions thereof that:</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Libre Baskerville" w:cs="Libre Baskerville" w:eastAsia="Libre Baskerville" w:hAnsi="Libre Baskerville"/>
          <w:sz w:val="20"/>
          <w:szCs w:val="20"/>
          <w:vertAlign w:val="baseline"/>
          <w:rtl w:val="0"/>
        </w:rPr>
        <w:br w:type="textWrapping"/>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(e)</w:t>
      </w:r>
      <w:r w:rsidDel="00000000" w:rsidR="00000000" w:rsidRPr="00000000">
        <w:rPr>
          <w:rFonts w:ascii="Libre Baskerville" w:cs="Libre Baskerville" w:eastAsia="Libre Baskerville" w:hAnsi="Libre Baskerville"/>
          <w:b w:val="1"/>
          <w:color w:val="000000"/>
          <w:sz w:val="20"/>
          <w:szCs w:val="20"/>
          <w:highlight w:val="white"/>
          <w:vertAlign w:val="baseline"/>
          <w:rtl w:val="0"/>
        </w:rPr>
        <w:t xml:space="preserve">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are compiled for law enforcement purposes and which, if disclosed, would:</w:t>
      </w:r>
      <w:r w:rsidDel="00000000" w:rsidR="00000000" w:rsidRPr="00000000">
        <w:rPr>
          <w:rFonts w:ascii="Libre Baskerville" w:cs="Libre Baskerville" w:eastAsia="Libre Baskerville" w:hAnsi="Libre Baskerville"/>
          <w:sz w:val="20"/>
          <w:szCs w:val="20"/>
          <w:vertAlign w:val="baseline"/>
          <w:rtl w:val="0"/>
        </w:rPr>
        <w:br w:type="textWrapping"/>
        <w:br w:type="textWrapping"/>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i.</w:t>
      </w:r>
      <w:r w:rsidDel="00000000" w:rsidR="00000000" w:rsidRPr="00000000">
        <w:rPr>
          <w:rFonts w:ascii="Libre Baskerville" w:cs="Libre Baskerville" w:eastAsia="Libre Baskerville" w:hAnsi="Libre Baskerville"/>
          <w:b w:val="1"/>
          <w:color w:val="000000"/>
          <w:sz w:val="20"/>
          <w:szCs w:val="20"/>
          <w:highlight w:val="white"/>
          <w:vertAlign w:val="baseline"/>
          <w:rtl w:val="0"/>
        </w:rPr>
        <w:t xml:space="preserve">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interfere with law enforcement investigations or judicial proceedings;</w:t>
      </w:r>
      <w:r w:rsidDel="00000000" w:rsidR="00000000" w:rsidRPr="00000000">
        <w:rPr>
          <w:rFonts w:ascii="Libre Baskerville" w:cs="Libre Baskerville" w:eastAsia="Libre Baskerville" w:hAnsi="Libre Baskerville"/>
          <w:sz w:val="20"/>
          <w:szCs w:val="20"/>
          <w:vertAlign w:val="baseline"/>
          <w:rtl w:val="0"/>
        </w:rPr>
        <w:br w:type="textWrapping"/>
        <w:br w:type="textWrapping"/>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ii</w:t>
      </w:r>
      <w:r w:rsidDel="00000000" w:rsidR="00000000" w:rsidRPr="00000000">
        <w:rPr>
          <w:rFonts w:ascii="Libre Baskerville" w:cs="Libre Baskerville" w:eastAsia="Libre Baskerville" w:hAnsi="Libre Baskerville"/>
          <w:b w:val="1"/>
          <w:color w:val="000000"/>
          <w:sz w:val="20"/>
          <w:szCs w:val="20"/>
          <w:highlight w:val="white"/>
          <w:vertAlign w:val="baseline"/>
          <w:rtl w:val="0"/>
        </w:rPr>
        <w:t xml:space="preserve">.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deprive a person of a right to a fair trial or impartial adjudication;</w:t>
      </w:r>
      <w:r w:rsidDel="00000000" w:rsidR="00000000" w:rsidRPr="00000000">
        <w:rPr>
          <w:rFonts w:ascii="Libre Baskerville" w:cs="Libre Baskerville" w:eastAsia="Libre Baskerville" w:hAnsi="Libre Baskerville"/>
          <w:sz w:val="20"/>
          <w:szCs w:val="20"/>
          <w:vertAlign w:val="baseline"/>
          <w:rtl w:val="0"/>
        </w:rPr>
        <w:br w:type="textWrapping"/>
        <w:br w:type="textWrapping"/>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iii</w:t>
      </w:r>
      <w:r w:rsidDel="00000000" w:rsidR="00000000" w:rsidRPr="00000000">
        <w:rPr>
          <w:rFonts w:ascii="Libre Baskerville" w:cs="Libre Baskerville" w:eastAsia="Libre Baskerville" w:hAnsi="Libre Baskerville"/>
          <w:b w:val="1"/>
          <w:color w:val="000000"/>
          <w:sz w:val="20"/>
          <w:szCs w:val="20"/>
          <w:highlight w:val="white"/>
          <w:vertAlign w:val="baseline"/>
          <w:rtl w:val="0"/>
        </w:rPr>
        <w:t xml:space="preserve">.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identify a confidential source or disclose confidential information relating to a criminal investigation; or</w:t>
      </w:r>
      <w:r w:rsidDel="00000000" w:rsidR="00000000" w:rsidRPr="00000000">
        <w:rPr>
          <w:rFonts w:ascii="Libre Baskerville" w:cs="Libre Baskerville" w:eastAsia="Libre Baskerville" w:hAnsi="Libre Baskerville"/>
          <w:sz w:val="20"/>
          <w:szCs w:val="20"/>
          <w:vertAlign w:val="baseline"/>
          <w:rtl w:val="0"/>
        </w:rPr>
        <w:br w:type="textWrapping"/>
        <w:br w:type="textWrapping"/>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         iv</w:t>
      </w:r>
      <w:r w:rsidDel="00000000" w:rsidR="00000000" w:rsidRPr="00000000">
        <w:rPr>
          <w:rFonts w:ascii="Libre Baskerville" w:cs="Libre Baskerville" w:eastAsia="Libre Baskerville" w:hAnsi="Libre Baskerville"/>
          <w:b w:val="1"/>
          <w:color w:val="000000"/>
          <w:sz w:val="20"/>
          <w:szCs w:val="20"/>
          <w:highlight w:val="white"/>
          <w:vertAlign w:val="baseline"/>
          <w:rtl w:val="0"/>
        </w:rPr>
        <w:t xml:space="preserve">. </w:t>
      </w:r>
      <w:r w:rsidDel="00000000" w:rsidR="00000000" w:rsidRPr="00000000">
        <w:rPr>
          <w:rFonts w:ascii="Libre Baskerville" w:cs="Libre Baskerville" w:eastAsia="Libre Baskerville" w:hAnsi="Libre Baskerville"/>
          <w:color w:val="000000"/>
          <w:sz w:val="20"/>
          <w:szCs w:val="20"/>
          <w:highlight w:val="white"/>
          <w:vertAlign w:val="baseline"/>
          <w:rtl w:val="0"/>
        </w:rPr>
        <w:t xml:space="preserve">reveal criminal investigative techniques or procedures, except routine techniques and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 xml:space="preserve">Public Officers Law Section 87 (2)(e) (McKinney’s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This claimed  ‘law enforcement’ exemption fails, first, for the same reason as the claimed personnel records privacy exemption, and second because the request obviously has nothing to do with any investigatory, judicial or other procedure relating to law enforcement activity, other than that it has been made to the New York Police Department.  Petitioner’s request is for aggregate demographic </w:t>
      </w:r>
      <w:r w:rsidDel="00000000" w:rsidR="00000000" w:rsidRPr="00000000">
        <w:rPr>
          <w:rFonts w:ascii="Libre Baskerville" w:cs="Libre Baskerville" w:eastAsia="Libre Baskerville" w:hAnsi="Libre Baskerville"/>
          <w:sz w:val="20"/>
          <w:szCs w:val="20"/>
          <w:u w:val="single"/>
          <w:vertAlign w:val="baseline"/>
          <w:rtl w:val="0"/>
        </w:rPr>
        <w:t xml:space="preserve">employee</w:t>
      </w:r>
      <w:r w:rsidDel="00000000" w:rsidR="00000000" w:rsidRPr="00000000">
        <w:rPr>
          <w:rFonts w:ascii="Libre Baskerville" w:cs="Libre Baskerville" w:eastAsia="Libre Baskerville" w:hAnsi="Libre Baskerville"/>
          <w:sz w:val="20"/>
          <w:szCs w:val="20"/>
          <w:vertAlign w:val="baseline"/>
          <w:rtl w:val="0"/>
        </w:rPr>
        <w:t xml:space="preserve"> information and </w:t>
      </w:r>
      <w:r w:rsidDel="00000000" w:rsidR="00000000" w:rsidRPr="00000000">
        <w:rPr>
          <w:rFonts w:ascii="Libre Baskerville" w:cs="Libre Baskerville" w:eastAsia="Libre Baskerville" w:hAnsi="Libre Baskerville"/>
          <w:sz w:val="20"/>
          <w:szCs w:val="20"/>
          <w:u w:val="single"/>
          <w:vertAlign w:val="baseline"/>
          <w:rtl w:val="0"/>
        </w:rPr>
        <w:t xml:space="preserve">not</w:t>
      </w:r>
      <w:r w:rsidDel="00000000" w:rsidR="00000000" w:rsidRPr="00000000">
        <w:rPr>
          <w:rFonts w:ascii="Libre Baskerville" w:cs="Libre Baskerville" w:eastAsia="Libre Baskerville" w:hAnsi="Libre Baskerville"/>
          <w:sz w:val="20"/>
          <w:szCs w:val="20"/>
          <w:vertAlign w:val="baseline"/>
          <w:rtl w:val="0"/>
        </w:rPr>
        <w:t xml:space="preserve"> disclosure of individual law enforcement proceedings, trials, confidential sources or information or investigatory techniques and procedures. </w:t>
      </w:r>
      <w:r w:rsidDel="00000000" w:rsidR="00000000" w:rsidRPr="00000000">
        <w:rPr>
          <w:rtl w:val="0"/>
        </w:rPr>
      </w:r>
    </w:p>
    <w:p w:rsidR="00000000" w:rsidDel="00000000" w:rsidP="00000000" w:rsidRDefault="00000000" w:rsidRPr="00000000">
      <w:pPr>
        <w:numPr>
          <w:ilvl w:val="0"/>
          <w:numId w:val="2"/>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The NYPD’s rejection based on plainly inapposite exemptions must be reversed and the information requested produced immediately. As the Court of Appeals has held: “blanket exemptions for certain types of documents are inimical to FOIL’s policy of open government.” </w:t>
      </w:r>
      <w:r w:rsidDel="00000000" w:rsidR="00000000" w:rsidRPr="00000000">
        <w:rPr>
          <w:rFonts w:ascii="Libre Baskerville" w:cs="Libre Baskerville" w:eastAsia="Libre Baskerville" w:hAnsi="Libre Baskerville"/>
          <w:sz w:val="20"/>
          <w:szCs w:val="20"/>
          <w:u w:val="single"/>
          <w:vertAlign w:val="baseline"/>
          <w:rtl w:val="0"/>
        </w:rPr>
        <w:t xml:space="preserve">Gould v. New York City Police Department</w:t>
      </w:r>
      <w:r w:rsidDel="00000000" w:rsidR="00000000" w:rsidRPr="00000000">
        <w:rPr>
          <w:rFonts w:ascii="Libre Baskerville" w:cs="Libre Baskerville" w:eastAsia="Libre Baskerville" w:hAnsi="Libre Baskerville"/>
          <w:sz w:val="20"/>
          <w:szCs w:val="20"/>
          <w:vertAlign w:val="baseline"/>
          <w:rtl w:val="0"/>
        </w:rPr>
        <w:t xml:space="preserve">, 89 N.Y.2d 267, 275 (1996).</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Libre Baskerville" w:cs="Libre Baskerville" w:eastAsia="Libre Baskerville" w:hAnsi="Libre Baskerville"/>
          <w:sz w:val="20"/>
          <w:szCs w:val="20"/>
          <w:vertAlign w:val="baseline"/>
          <w:rtl w:val="0"/>
        </w:rPr>
        <w:t xml:space="preserve">12.</w:t>
        <w:tab/>
        <w:t xml:space="preserve">Nor can respondents claim that the production of this information is onerous or that such data does not exist in the form requested. Public Officer Law Section 89 (3) requires the production of data: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Libre Baskerville" w:cs="Libre Baskerville" w:eastAsia="Libre Baskerville" w:hAnsi="Libre Baskerville"/>
          <w:color w:val="333333"/>
          <w:sz w:val="20"/>
          <w:szCs w:val="20"/>
          <w:highlight w:val="white"/>
          <w:vertAlign w:val="baseline"/>
          <w:rtl w:val="0"/>
        </w:rPr>
        <w:t xml:space="preserve">When an agency has the ability to retrieve or extract a record or data maintained in a computer storage system with reasonable effort, it shall be required to do so. When doing so requires less employee time than engaging in manual retrieval or redactions from non-electronic records, the agency shall be required to retrieve or extract such record or data electronically. Any programming necessary to retrieve a record maintained in a computer storage system and to transfer that record to the medium requested by a person or to allow the transferred record to be read or printed shall not be deemed to be the preparation or creation of a new record.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Libre Baskerville" w:cs="Libre Baskerville" w:eastAsia="Libre Baskerville" w:hAnsi="Libre Baskerville"/>
          <w:sz w:val="20"/>
          <w:szCs w:val="20"/>
          <w:vertAlign w:val="baseline"/>
          <w:rtl w:val="0"/>
        </w:rPr>
        <w:t xml:space="preserve">Public Officer Law Section 89 (3)(a) (McKinney’s 2016)</w:t>
      </w:r>
      <w:r w:rsidDel="00000000" w:rsidR="00000000" w:rsidRPr="00000000">
        <w:rPr>
          <w:rtl w:val="0"/>
        </w:rPr>
      </w:r>
    </w:p>
    <w:p w:rsidR="00000000" w:rsidDel="00000000" w:rsidP="00000000" w:rsidRDefault="00000000" w:rsidRPr="00000000">
      <w:pPr>
        <w:numPr>
          <w:ilvl w:val="0"/>
          <w:numId w:val="3"/>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 Petitioner requests attorneys fees and court costs in an amount to be determined by the court as a result of respondents’ improper denial of petitioner’s request.  Instead of complying with petitioner’s proper FOIL request, and after an appeal wherein the request was explained, respondents issued a boiler-plate denial ostensibly designed simply to discourage such requests and to require the engagement of counsel to prepare a petition to compel production which should have been made as a matter of course.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0"/>
          <w:szCs w:val="20"/>
          <w:vertAlign w:val="baseline"/>
          <w:rtl w:val="0"/>
        </w:rPr>
        <w:t xml:space="preserve">WHEREFORE, </w:t>
      </w:r>
      <w:r w:rsidDel="00000000" w:rsidR="00000000" w:rsidRPr="00000000">
        <w:rPr>
          <w:rFonts w:ascii="Libre Baskerville" w:cs="Libre Baskerville" w:eastAsia="Libre Baskerville" w:hAnsi="Libre Baskerville"/>
          <w:sz w:val="20"/>
          <w:szCs w:val="20"/>
          <w:vertAlign w:val="baseline"/>
          <w:rtl w:val="0"/>
        </w:rPr>
        <w:t xml:space="preserve">it is respectfully requested that an order be issued pursuant to CPLR 7806:</w:t>
      </w:r>
      <w:r w:rsidDel="00000000" w:rsidR="00000000" w:rsidRPr="00000000">
        <w:rPr>
          <w:rtl w:val="0"/>
        </w:rPr>
      </w:r>
    </w:p>
    <w:p w:rsidR="00000000" w:rsidDel="00000000" w:rsidP="00000000" w:rsidRDefault="00000000" w:rsidRPr="00000000">
      <w:pPr>
        <w:numPr>
          <w:ilvl w:val="1"/>
          <w:numId w:val="1"/>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mandating respondent to comply with Public Officer Law Section 84 </w:t>
      </w:r>
      <w:r w:rsidDel="00000000" w:rsidR="00000000" w:rsidRPr="00000000">
        <w:rPr>
          <w:rFonts w:ascii="Libre Baskerville" w:cs="Libre Baskerville" w:eastAsia="Libre Baskerville" w:hAnsi="Libre Baskerville"/>
          <w:sz w:val="20"/>
          <w:szCs w:val="20"/>
          <w:u w:val="single"/>
          <w:vertAlign w:val="baseline"/>
          <w:rtl w:val="0"/>
        </w:rPr>
        <w:t xml:space="preserve">et</w:t>
      </w:r>
      <w:r w:rsidDel="00000000" w:rsidR="00000000" w:rsidRPr="00000000">
        <w:rPr>
          <w:rFonts w:ascii="Libre Baskerville" w:cs="Libre Baskerville" w:eastAsia="Libre Baskerville" w:hAnsi="Libre Baskerville"/>
          <w:sz w:val="20"/>
          <w:szCs w:val="20"/>
          <w:vertAlign w:val="baseline"/>
          <w:rtl w:val="0"/>
        </w:rPr>
        <w:t xml:space="preserve"> </w:t>
      </w:r>
      <w:r w:rsidDel="00000000" w:rsidR="00000000" w:rsidRPr="00000000">
        <w:rPr>
          <w:rFonts w:ascii="Libre Baskerville" w:cs="Libre Baskerville" w:eastAsia="Libre Baskerville" w:hAnsi="Libre Baskerville"/>
          <w:sz w:val="20"/>
          <w:szCs w:val="20"/>
          <w:u w:val="single"/>
          <w:vertAlign w:val="baseline"/>
          <w:rtl w:val="0"/>
        </w:rPr>
        <w:t xml:space="preserve">seq</w:t>
      </w:r>
      <w:r w:rsidDel="00000000" w:rsidR="00000000" w:rsidRPr="00000000">
        <w:rPr>
          <w:rFonts w:ascii="Libre Baskerville" w:cs="Libre Baskerville" w:eastAsia="Libre Baskerville" w:hAnsi="Libre Baskerville"/>
          <w:sz w:val="20"/>
          <w:szCs w:val="20"/>
          <w:vertAlign w:val="baseline"/>
          <w:rtl w:val="0"/>
        </w:rPr>
        <w:t xml:space="preserve">. and the regulations promulgated thereunder, and to produce the aggregate, non-identifiable employee (a) residency data by precinct requested by petitioner within 10 days of the date of the order, and </w:t>
      </w:r>
      <w:r w:rsidDel="00000000" w:rsidR="00000000" w:rsidRPr="00000000">
        <w:rPr>
          <w:rtl w:val="0"/>
        </w:rPr>
      </w:r>
    </w:p>
    <w:p w:rsidR="00000000" w:rsidDel="00000000" w:rsidP="00000000" w:rsidRDefault="00000000" w:rsidRPr="00000000">
      <w:pPr>
        <w:numPr>
          <w:ilvl w:val="1"/>
          <w:numId w:val="1"/>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for an order granting petitioner attorneys fees and court costs in an amount to be determined by the court, pursuant to Public Officer Law Section 89 (4) (c)(i) because respondents had no reasonable basis for denying petitioner’s request;</w:t>
      </w:r>
      <w:r w:rsidDel="00000000" w:rsidR="00000000" w:rsidRPr="00000000">
        <w:rPr>
          <w:rtl w:val="0"/>
        </w:rPr>
      </w:r>
    </w:p>
    <w:p w:rsidR="00000000" w:rsidDel="00000000" w:rsidP="00000000" w:rsidRDefault="00000000" w:rsidRPr="00000000">
      <w:pPr>
        <w:numPr>
          <w:ilvl w:val="1"/>
          <w:numId w:val="1"/>
        </w:numPr>
        <w:spacing w:line="480" w:lineRule="auto"/>
        <w:ind w:left="0" w:firstLine="720"/>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vertAlign w:val="baseline"/>
          <w:rtl w:val="0"/>
        </w:rPr>
        <w:t xml:space="preserve">and for such other and further relief as this court may deem just and proper.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Libre Baskerville" w:cs="Libre Baskerville" w:eastAsia="Libre Baskerville" w:hAnsi="Libre Baskerville"/>
          <w:sz w:val="20"/>
          <w:szCs w:val="20"/>
          <w:vertAlign w:val="baseline"/>
          <w:rtl w:val="0"/>
        </w:rPr>
        <w:t xml:space="preserve">Dated:  January     2016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ab/>
        <w:tab/>
        <w:tab/>
        <w:tab/>
        <w:t xml:space="preserve">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vertAlign w:val="baseline"/>
          <w:rtl w:val="0"/>
        </w:rPr>
        <w:tab/>
        <w:tab/>
        <w:tab/>
        <w:tab/>
        <w:tab/>
        <w:tab/>
        <w:t xml:space="preserve">ELISA BARNES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footerReference r:id="rId5"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9"/>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5"/>
      <w:numFmt w:val="decimal"/>
      <w:lvlText w:val="%1."/>
      <w:lvlJc w:val="left"/>
      <w:pPr>
        <w:ind w:left="1080" w:firstLine="720"/>
      </w:pPr>
      <w:rPr>
        <w:sz w:val="24"/>
        <w:szCs w:val="24"/>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3"/>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
    <w:lvl w:ilvl="0">
      <w:start w:val="1"/>
      <w:numFmt w:val="decimal"/>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