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21977" w14:textId="77777777" w:rsidR="00D213D6" w:rsidRDefault="00000000">
      <w:pPr>
        <w:pStyle w:val="1"/>
      </w:pPr>
      <w:r>
        <w:rPr>
          <w:rFonts w:hint="eastAsia"/>
        </w:rPr>
        <w:t>一、选择</w:t>
      </w:r>
      <w:r>
        <w:rPr>
          <w:rFonts w:hint="eastAsia"/>
        </w:rPr>
        <w:t>FICC</w:t>
      </w:r>
      <w:r>
        <w:rPr>
          <w:rFonts w:hint="eastAsia"/>
        </w:rPr>
        <w:t>业务作为新型资管平台建设的起点</w:t>
      </w:r>
    </w:p>
    <w:p w14:paraId="0FC7E0D2" w14:textId="77777777" w:rsidR="00887BC6" w:rsidRDefault="00000000">
      <w:pPr>
        <w:ind w:firstLine="480"/>
      </w:pPr>
      <w:r>
        <w:rPr>
          <w:rFonts w:hint="eastAsia"/>
        </w:rPr>
        <w:t>【</w:t>
      </w:r>
      <w:r>
        <w:rPr>
          <w:rFonts w:hint="eastAsia"/>
          <w:b/>
          <w:bCs/>
        </w:rPr>
        <w:t>论点</w:t>
      </w:r>
      <w:r>
        <w:rPr>
          <w:rFonts w:hint="eastAsia"/>
        </w:rPr>
        <w:t>】</w:t>
      </w:r>
    </w:p>
    <w:p w14:paraId="1F9E5095" w14:textId="77777777" w:rsidR="00887BC6" w:rsidRDefault="00000000">
      <w:pPr>
        <w:ind w:firstLine="480"/>
      </w:pPr>
      <w:r>
        <w:rPr>
          <w:rFonts w:hint="eastAsia"/>
        </w:rPr>
        <w:t>1</w:t>
      </w:r>
      <w:r>
        <w:rPr>
          <w:rFonts w:hint="eastAsia"/>
        </w:rPr>
        <w:t>、资管行业机构类型和业务多样，</w:t>
      </w:r>
      <w:r>
        <w:rPr>
          <w:rFonts w:hint="eastAsia"/>
        </w:rPr>
        <w:t>FICC</w:t>
      </w:r>
      <w:r>
        <w:rPr>
          <w:rFonts w:hint="eastAsia"/>
        </w:rPr>
        <w:t>是证券、银行、资管等机构都涉及的业务，能覆盖绝大部分资管机构资产管理业务；</w:t>
      </w:r>
    </w:p>
    <w:p w14:paraId="2D1773B2" w14:textId="0505E739" w:rsidR="00887BC6" w:rsidRDefault="00000000">
      <w:pPr>
        <w:ind w:firstLine="480"/>
        <w:rPr>
          <w:color w:val="EE0000"/>
        </w:rPr>
      </w:pPr>
      <w:r>
        <w:rPr>
          <w:rFonts w:hint="eastAsia"/>
        </w:rPr>
        <w:t>2</w:t>
      </w:r>
      <w:r>
        <w:rPr>
          <w:rFonts w:hint="eastAsia"/>
        </w:rPr>
        <w:t>、</w:t>
      </w:r>
      <w:r>
        <w:rPr>
          <w:rFonts w:hint="eastAsia"/>
        </w:rPr>
        <w:t>FICC</w:t>
      </w:r>
      <w:r>
        <w:rPr>
          <w:rFonts w:hint="eastAsia"/>
        </w:rPr>
        <w:t>业务投资品种多、业务范围广，</w:t>
      </w:r>
      <w:r w:rsidR="00887BC6" w:rsidRPr="00887BC6">
        <w:rPr>
          <w:rFonts w:hint="eastAsia"/>
          <w:color w:val="EE0000"/>
        </w:rPr>
        <w:t>规模大，</w:t>
      </w:r>
      <w:r w:rsidR="00887BC6">
        <w:rPr>
          <w:rFonts w:hint="eastAsia"/>
          <w:color w:val="EE0000"/>
        </w:rPr>
        <w:t>市场发展趋势超过其他品种，</w:t>
      </w:r>
      <w:r w:rsidR="00324271">
        <w:rPr>
          <w:rFonts w:hint="eastAsia"/>
          <w:color w:val="EE0000"/>
        </w:rPr>
        <w:t>未来</w:t>
      </w:r>
      <w:r w:rsidR="00887BC6">
        <w:rPr>
          <w:rFonts w:hint="eastAsia"/>
          <w:color w:val="EE0000"/>
        </w:rPr>
        <w:t>可持续性强。</w:t>
      </w:r>
    </w:p>
    <w:p w14:paraId="360F2463" w14:textId="29538EAE" w:rsidR="00887BC6" w:rsidRDefault="00887BC6">
      <w:pPr>
        <w:ind w:firstLine="480"/>
      </w:pPr>
      <w:r>
        <w:rPr>
          <w:rFonts w:hint="eastAsia"/>
          <w:color w:val="EE0000"/>
        </w:rPr>
        <w:t xml:space="preserve">3. </w:t>
      </w:r>
      <w:r w:rsidRPr="00887BC6">
        <w:rPr>
          <w:rFonts w:hint="eastAsia"/>
          <w:color w:val="EE0000"/>
        </w:rPr>
        <w:t>建设</w:t>
      </w:r>
      <w:r w:rsidRPr="00887BC6">
        <w:rPr>
          <w:rFonts w:hint="eastAsia"/>
          <w:color w:val="EE0000"/>
        </w:rPr>
        <w:t>FICC</w:t>
      </w:r>
      <w:r w:rsidRPr="00887BC6">
        <w:rPr>
          <w:rFonts w:hint="eastAsia"/>
          <w:color w:val="EE0000"/>
        </w:rPr>
        <w:t>系统建设，有门槛高，专业要求高，自建难度大，需要长期积累</w:t>
      </w:r>
      <w:r w:rsidR="00324271">
        <w:rPr>
          <w:rFonts w:hint="eastAsia"/>
          <w:color w:val="EE0000"/>
        </w:rPr>
        <w:t>，有些机构自研，投入大量资金，经过多年努力，和国际领先系统还有差距。</w:t>
      </w:r>
    </w:p>
    <w:p w14:paraId="5FC91308" w14:textId="3FEC02E2" w:rsidR="00324271" w:rsidRDefault="00887BC6" w:rsidP="00324271">
      <w:pPr>
        <w:ind w:firstLine="480"/>
        <w:rPr>
          <w:color w:val="EE0000"/>
        </w:rPr>
      </w:pPr>
      <w:r>
        <w:rPr>
          <w:rFonts w:hint="eastAsia"/>
        </w:rPr>
        <w:t xml:space="preserve">4. </w:t>
      </w:r>
      <w:r w:rsidRPr="00324271">
        <w:rPr>
          <w:rFonts w:hint="eastAsia"/>
          <w:color w:val="EE0000"/>
        </w:rPr>
        <w:t>一旦建设完成，可复用性强，不仅可以覆盖国内</w:t>
      </w:r>
      <w:r w:rsidRPr="00324271">
        <w:rPr>
          <w:rFonts w:hint="eastAsia"/>
          <w:color w:val="EE0000"/>
        </w:rPr>
        <w:t>FICC</w:t>
      </w:r>
      <w:r w:rsidRPr="00324271">
        <w:rPr>
          <w:rFonts w:hint="eastAsia"/>
          <w:color w:val="EE0000"/>
        </w:rPr>
        <w:t>，还可以扩展到国际</w:t>
      </w:r>
      <w:r w:rsidR="00324271" w:rsidRPr="00324271">
        <w:rPr>
          <w:rFonts w:hint="eastAsia"/>
          <w:color w:val="EE0000"/>
        </w:rPr>
        <w:t>FICC</w:t>
      </w:r>
      <w:r w:rsidR="00324271" w:rsidRPr="00324271">
        <w:rPr>
          <w:rFonts w:hint="eastAsia"/>
          <w:color w:val="EE0000"/>
        </w:rPr>
        <w:t>领域</w:t>
      </w:r>
      <w:r w:rsidRPr="00324271">
        <w:rPr>
          <w:rFonts w:hint="eastAsia"/>
          <w:color w:val="EE0000"/>
        </w:rPr>
        <w:t>的优势。</w:t>
      </w:r>
    </w:p>
    <w:p w14:paraId="531B7EC0" w14:textId="49930D8E" w:rsidR="00324271" w:rsidRDefault="00324271" w:rsidP="00324271">
      <w:pPr>
        <w:ind w:firstLine="480"/>
        <w:rPr>
          <w:color w:val="EE0000"/>
        </w:rPr>
      </w:pPr>
      <w:r>
        <w:rPr>
          <w:rFonts w:hint="eastAsia"/>
          <w:color w:val="EE0000"/>
        </w:rPr>
        <w:t xml:space="preserve">5. </w:t>
      </w:r>
      <w:r>
        <w:rPr>
          <w:rFonts w:hint="eastAsia"/>
          <w:color w:val="EE0000"/>
        </w:rPr>
        <w:t>当前我们国家的资管平台水平，和国际比领先平台比，在</w:t>
      </w:r>
      <w:r>
        <w:rPr>
          <w:rFonts w:hint="eastAsia"/>
          <w:color w:val="EE0000"/>
        </w:rPr>
        <w:t>FICC</w:t>
      </w:r>
      <w:r>
        <w:rPr>
          <w:rFonts w:hint="eastAsia"/>
          <w:color w:val="EE0000"/>
        </w:rPr>
        <w:t>差距最大。要实现金融强国，达到国际先进水平，</w:t>
      </w:r>
      <w:r>
        <w:rPr>
          <w:rFonts w:hint="eastAsia"/>
          <w:color w:val="EE0000"/>
        </w:rPr>
        <w:t>FICC</w:t>
      </w:r>
      <w:r>
        <w:rPr>
          <w:rFonts w:hint="eastAsia"/>
          <w:color w:val="EE0000"/>
        </w:rPr>
        <w:t>是迫切发展的领域。</w:t>
      </w:r>
    </w:p>
    <w:p w14:paraId="4FB26ADB" w14:textId="77777777" w:rsidR="00324271" w:rsidRDefault="00324271" w:rsidP="00324271">
      <w:pPr>
        <w:ind w:firstLine="480"/>
        <w:rPr>
          <w:color w:val="EE0000"/>
        </w:rPr>
      </w:pPr>
    </w:p>
    <w:p w14:paraId="55C4DC11" w14:textId="77777777" w:rsidR="00324271" w:rsidRDefault="00324271" w:rsidP="00324271">
      <w:pPr>
        <w:ind w:firstLine="480"/>
        <w:rPr>
          <w:color w:val="EE0000"/>
        </w:rPr>
      </w:pPr>
      <w:r>
        <w:rPr>
          <w:rFonts w:hint="eastAsia"/>
          <w:color w:val="EE0000"/>
        </w:rPr>
        <w:t>论据：</w:t>
      </w:r>
      <w:r>
        <w:rPr>
          <w:rFonts w:hint="eastAsia"/>
          <w:color w:val="EE0000"/>
        </w:rPr>
        <w:t>1</w:t>
      </w:r>
      <w:r>
        <w:rPr>
          <w:rFonts w:hint="eastAsia"/>
          <w:color w:val="EE0000"/>
        </w:rPr>
        <w:t>）。</w:t>
      </w:r>
      <w:r>
        <w:rPr>
          <w:rFonts w:hint="eastAsia"/>
          <w:color w:val="EE0000"/>
        </w:rPr>
        <w:t xml:space="preserve"> FICC</w:t>
      </w:r>
      <w:r>
        <w:rPr>
          <w:rFonts w:hint="eastAsia"/>
          <w:color w:val="EE0000"/>
        </w:rPr>
        <w:t>近年来市场规模增长趋势，</w:t>
      </w:r>
      <w:r>
        <w:rPr>
          <w:rFonts w:hint="eastAsia"/>
          <w:color w:val="EE0000"/>
        </w:rPr>
        <w:t xml:space="preserve"> </w:t>
      </w:r>
    </w:p>
    <w:p w14:paraId="25CAF871" w14:textId="52CB212F" w:rsidR="00324271" w:rsidRPr="00324271" w:rsidRDefault="00324271" w:rsidP="00324271">
      <w:pPr>
        <w:ind w:firstLineChars="500" w:firstLine="1200"/>
        <w:rPr>
          <w:color w:val="EE0000"/>
        </w:rPr>
      </w:pPr>
      <w:r>
        <w:rPr>
          <w:rFonts w:hint="eastAsia"/>
          <w:color w:val="EE0000"/>
        </w:rPr>
        <w:t>2</w:t>
      </w:r>
      <w:r>
        <w:rPr>
          <w:rFonts w:hint="eastAsia"/>
          <w:color w:val="EE0000"/>
        </w:rPr>
        <w:t>）。</w:t>
      </w:r>
      <w:r>
        <w:rPr>
          <w:rFonts w:hint="eastAsia"/>
          <w:color w:val="EE0000"/>
        </w:rPr>
        <w:t xml:space="preserve"> </w:t>
      </w:r>
      <w:r>
        <w:rPr>
          <w:rFonts w:hint="eastAsia"/>
          <w:color w:val="EE0000"/>
        </w:rPr>
        <w:t>阿拉丁系统的比较</w:t>
      </w:r>
    </w:p>
    <w:p w14:paraId="18B64102" w14:textId="77777777" w:rsidR="00D213D6" w:rsidRDefault="00D213D6">
      <w:pPr>
        <w:ind w:firstLine="480"/>
      </w:pPr>
    </w:p>
    <w:p w14:paraId="0E38FE81" w14:textId="31B75D73" w:rsidR="00887BC6" w:rsidRDefault="00887BC6" w:rsidP="00887BC6">
      <w:pPr>
        <w:ind w:firstLineChars="0" w:firstLine="0"/>
      </w:pPr>
    </w:p>
    <w:p w14:paraId="22E8A872" w14:textId="77777777" w:rsidR="00D213D6" w:rsidRDefault="00000000">
      <w:pPr>
        <w:ind w:firstLine="480"/>
      </w:pPr>
      <w:r>
        <w:rPr>
          <w:rFonts w:hint="eastAsia"/>
        </w:rPr>
        <w:t>【</w:t>
      </w:r>
      <w:r>
        <w:rPr>
          <w:rFonts w:hint="eastAsia"/>
          <w:b/>
          <w:bCs/>
        </w:rPr>
        <w:t>论据</w:t>
      </w:r>
      <w:r>
        <w:rPr>
          <w:rFonts w:hint="eastAsia"/>
        </w:rPr>
        <w:t>】</w:t>
      </w:r>
    </w:p>
    <w:p w14:paraId="5292D22A" w14:textId="77777777" w:rsidR="00D213D6" w:rsidRDefault="00000000">
      <w:pPr>
        <w:pStyle w:val="2"/>
      </w:pPr>
      <w:r>
        <w:rPr>
          <w:rFonts w:hint="eastAsia"/>
        </w:rPr>
        <w:t>（一）资管行业机构类型和业务多样，</w:t>
      </w:r>
      <w:r>
        <w:rPr>
          <w:rFonts w:hint="eastAsia"/>
        </w:rPr>
        <w:t>FICC</w:t>
      </w:r>
      <w:r>
        <w:rPr>
          <w:rFonts w:hint="eastAsia"/>
        </w:rPr>
        <w:t>是证券、银行、资管等机构都涉及的业务，能覆盖绝大部分资管机构资产管理业务。</w:t>
      </w:r>
    </w:p>
    <w:p w14:paraId="65956A4D" w14:textId="77777777" w:rsidR="00D213D6" w:rsidRDefault="00000000">
      <w:pPr>
        <w:ind w:firstLine="480"/>
      </w:pPr>
      <w:r>
        <w:rPr>
          <w:rFonts w:hint="eastAsia"/>
        </w:rPr>
        <w:t>我国资产管理广泛涉及银行、保险、证券、基金、信托、期货等行业机构，各类机构根据细分行业监管规则和业务优势在资产投向上各有侧重，但都涉及</w:t>
      </w:r>
      <w:r>
        <w:rPr>
          <w:rFonts w:hint="eastAsia"/>
        </w:rPr>
        <w:t>FICC</w:t>
      </w:r>
      <w:r>
        <w:rPr>
          <w:rFonts w:hint="eastAsia"/>
        </w:rPr>
        <w:t>类金融资产。其中，证券公司自营的主要投资品种包括境内股票（含新三板）、基金、未上市股权、私募债券、银行间市场交易的证券、</w:t>
      </w:r>
      <w:r>
        <w:rPr>
          <w:rFonts w:hint="eastAsia"/>
        </w:rPr>
        <w:t>OTC</w:t>
      </w:r>
      <w:r>
        <w:rPr>
          <w:rFonts w:hint="eastAsia"/>
        </w:rPr>
        <w:t>交易的证券等，证券公司自营部门是当前资本市场上投资范围最为广泛和宽松的机构主体。</w:t>
      </w:r>
    </w:p>
    <w:p w14:paraId="301BEC08" w14:textId="77777777" w:rsidR="00D213D6" w:rsidRDefault="00D213D6">
      <w:pPr>
        <w:ind w:firstLine="480"/>
      </w:pPr>
    </w:p>
    <w:p w14:paraId="3A3AC380" w14:textId="77777777" w:rsidR="00D213D6" w:rsidRDefault="00000000">
      <w:pPr>
        <w:ind w:firstLineChars="0" w:firstLine="0"/>
        <w:jc w:val="center"/>
      </w:pPr>
      <w:r>
        <w:rPr>
          <w:rFonts w:ascii="楷体" w:eastAsia="楷体" w:hAnsi="楷体" w:hint="eastAsia"/>
        </w:rPr>
        <w:t>表 各类资管产品以及证券公司自营投资范围</w:t>
      </w:r>
      <w:r>
        <w:rPr>
          <w:noProof/>
        </w:rPr>
        <w:lastRenderedPageBreak/>
        <w:drawing>
          <wp:inline distT="0" distB="0" distL="114300" distR="114300" wp14:anchorId="0285826D" wp14:editId="56E953DB">
            <wp:extent cx="5288280" cy="2185670"/>
            <wp:effectExtent l="0" t="0" r="7620" b="508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
                    <a:stretch>
                      <a:fillRect/>
                    </a:stretch>
                  </pic:blipFill>
                  <pic:spPr>
                    <a:xfrm>
                      <a:off x="0" y="0"/>
                      <a:ext cx="5299605" cy="2190199"/>
                    </a:xfrm>
                    <a:prstGeom prst="rect">
                      <a:avLst/>
                    </a:prstGeom>
                    <a:noFill/>
                    <a:ln>
                      <a:noFill/>
                    </a:ln>
                  </pic:spPr>
                </pic:pic>
              </a:graphicData>
            </a:graphic>
          </wp:inline>
        </w:drawing>
      </w:r>
    </w:p>
    <w:p w14:paraId="7B6AE21C" w14:textId="77777777" w:rsidR="00D213D6" w:rsidRDefault="00000000">
      <w:pPr>
        <w:ind w:firstLine="480"/>
      </w:pPr>
      <w:r>
        <w:rPr>
          <w:rFonts w:hint="eastAsia"/>
          <w:highlight w:val="yellow"/>
        </w:rPr>
        <w:t>(</w:t>
      </w:r>
      <w:r>
        <w:rPr>
          <w:rFonts w:hint="eastAsia"/>
          <w:highlight w:val="yellow"/>
        </w:rPr>
        <w:t>外汇、碳金融）</w:t>
      </w:r>
    </w:p>
    <w:p w14:paraId="4E71397E" w14:textId="77777777" w:rsidR="00D213D6" w:rsidRDefault="00000000">
      <w:r>
        <w:rPr>
          <w:rFonts w:hint="eastAsia"/>
          <w:b/>
          <w:bCs/>
        </w:rPr>
        <w:t>从产品投资类型来看，</w:t>
      </w:r>
      <w:r>
        <w:rPr>
          <w:rFonts w:hint="eastAsia"/>
        </w:rPr>
        <w:t>除私募基金之外，</w:t>
      </w:r>
      <w:r>
        <w:rPr>
          <w:rFonts w:hint="eastAsia"/>
        </w:rPr>
        <w:t>FICC</w:t>
      </w:r>
      <w:r>
        <w:rPr>
          <w:rFonts w:hint="eastAsia"/>
        </w:rPr>
        <w:t>类产品在各类资管机构存续产品规模中的占比都是最大的。其中（保险资管、私募基金产品规模为</w:t>
      </w:r>
      <w:r>
        <w:rPr>
          <w:rFonts w:hint="eastAsia"/>
        </w:rPr>
        <w:t>2023</w:t>
      </w:r>
      <w:r>
        <w:rPr>
          <w:rFonts w:hint="eastAsia"/>
        </w:rPr>
        <w:t>年底数据，其余数据均为截至</w:t>
      </w:r>
      <w:r>
        <w:rPr>
          <w:rFonts w:hint="eastAsia"/>
        </w:rPr>
        <w:t>2025</w:t>
      </w:r>
      <w:r>
        <w:rPr>
          <w:rFonts w:hint="eastAsia"/>
        </w:rPr>
        <w:t>年</w:t>
      </w:r>
      <w:r>
        <w:rPr>
          <w:rFonts w:hint="eastAsia"/>
        </w:rPr>
        <w:t>6</w:t>
      </w:r>
      <w:r>
        <w:rPr>
          <w:rFonts w:hint="eastAsia"/>
        </w:rPr>
        <w:t>月底数据）：</w:t>
      </w:r>
    </w:p>
    <w:p w14:paraId="68B77136" w14:textId="77777777" w:rsidR="00D213D6" w:rsidRDefault="00000000">
      <w:pPr>
        <w:pStyle w:val="aa"/>
        <w:numPr>
          <w:ilvl w:val="0"/>
          <w:numId w:val="1"/>
        </w:numPr>
        <w:ind w:left="442" w:firstLineChars="0" w:hanging="442"/>
      </w:pPr>
      <w:r>
        <w:rPr>
          <w:rFonts w:hint="eastAsia"/>
        </w:rPr>
        <w:t>银行理财产品中固定收益类产品规模占比为</w:t>
      </w:r>
      <w:r>
        <w:rPr>
          <w:rFonts w:hint="eastAsia"/>
        </w:rPr>
        <w:t>97.2%</w:t>
      </w:r>
      <w:r>
        <w:rPr>
          <w:rFonts w:hint="eastAsia"/>
        </w:rPr>
        <w:t>，商品及金融衍生品类占比</w:t>
      </w:r>
      <w:r>
        <w:rPr>
          <w:rFonts w:hint="eastAsia"/>
        </w:rPr>
        <w:t>0.07%</w:t>
      </w:r>
      <w:r>
        <w:rPr>
          <w:rFonts w:hint="eastAsia"/>
        </w:rPr>
        <w:t>，</w:t>
      </w:r>
      <w:r>
        <w:rPr>
          <w:rFonts w:hint="eastAsia"/>
        </w:rPr>
        <w:t>FICC</w:t>
      </w:r>
      <w:r>
        <w:rPr>
          <w:rFonts w:hint="eastAsia"/>
        </w:rPr>
        <w:t>类产品合计占比达</w:t>
      </w:r>
      <w:r>
        <w:rPr>
          <w:rFonts w:hint="eastAsia"/>
        </w:rPr>
        <w:t>97.27%</w:t>
      </w:r>
      <w:r>
        <w:rPr>
          <w:rFonts w:hint="eastAsia"/>
        </w:rPr>
        <w:t>。</w:t>
      </w:r>
    </w:p>
    <w:p w14:paraId="607F07AC" w14:textId="77777777" w:rsidR="00D213D6" w:rsidRDefault="00000000">
      <w:pPr>
        <w:pStyle w:val="aa"/>
        <w:numPr>
          <w:ilvl w:val="0"/>
          <w:numId w:val="1"/>
        </w:numPr>
        <w:ind w:left="442" w:firstLineChars="0" w:hanging="442"/>
      </w:pPr>
      <w:r>
        <w:rPr>
          <w:rFonts w:hint="eastAsia"/>
        </w:rPr>
        <w:t>信托公司发行的标品信托产品中固定收益类产品占比</w:t>
      </w:r>
      <w:r>
        <w:rPr>
          <w:rFonts w:hint="eastAsia"/>
        </w:rPr>
        <w:t>77%</w:t>
      </w:r>
      <w:r>
        <w:rPr>
          <w:rFonts w:hint="eastAsia"/>
        </w:rPr>
        <w:t>，商品及金融衍生品类占比</w:t>
      </w:r>
      <w:r>
        <w:rPr>
          <w:rFonts w:hint="eastAsia"/>
        </w:rPr>
        <w:t>1%</w:t>
      </w:r>
      <w:r>
        <w:rPr>
          <w:rFonts w:hint="eastAsia"/>
        </w:rPr>
        <w:t>，</w:t>
      </w:r>
      <w:r>
        <w:rPr>
          <w:rFonts w:hint="eastAsia"/>
        </w:rPr>
        <w:t>FICC</w:t>
      </w:r>
      <w:r>
        <w:rPr>
          <w:rFonts w:hint="eastAsia"/>
        </w:rPr>
        <w:t>类产品合计占比达</w:t>
      </w:r>
      <w:r>
        <w:rPr>
          <w:rFonts w:hint="eastAsia"/>
        </w:rPr>
        <w:t>78%</w:t>
      </w:r>
      <w:r>
        <w:rPr>
          <w:rFonts w:hint="eastAsia"/>
        </w:rPr>
        <w:t>。</w:t>
      </w:r>
    </w:p>
    <w:p w14:paraId="04563046" w14:textId="77777777" w:rsidR="00D213D6" w:rsidRDefault="00000000">
      <w:pPr>
        <w:pStyle w:val="aa"/>
        <w:numPr>
          <w:ilvl w:val="0"/>
          <w:numId w:val="1"/>
        </w:numPr>
        <w:ind w:left="442" w:firstLineChars="0" w:hanging="442"/>
      </w:pPr>
      <w:r>
        <w:rPr>
          <w:rFonts w:hint="eastAsia"/>
        </w:rPr>
        <w:t>证券期货经营机构管理的私募资管产品中，固定收益类产品占比</w:t>
      </w:r>
      <w:r>
        <w:rPr>
          <w:rFonts w:hint="eastAsia"/>
        </w:rPr>
        <w:t>73.5%</w:t>
      </w:r>
      <w:r>
        <w:rPr>
          <w:rFonts w:hint="eastAsia"/>
        </w:rPr>
        <w:t>，商品及金融衍生品类占比</w:t>
      </w:r>
      <w:r>
        <w:rPr>
          <w:rFonts w:hint="eastAsia"/>
        </w:rPr>
        <w:t>1.16%</w:t>
      </w:r>
      <w:r>
        <w:rPr>
          <w:rFonts w:hint="eastAsia"/>
        </w:rPr>
        <w:t>，</w:t>
      </w:r>
      <w:r>
        <w:rPr>
          <w:rFonts w:hint="eastAsia"/>
        </w:rPr>
        <w:t>FICC</w:t>
      </w:r>
      <w:r>
        <w:rPr>
          <w:rFonts w:hint="eastAsia"/>
        </w:rPr>
        <w:t>类产品合计占比达</w:t>
      </w:r>
      <w:r>
        <w:rPr>
          <w:rFonts w:hint="eastAsia"/>
        </w:rPr>
        <w:t>74.66%</w:t>
      </w:r>
      <w:r>
        <w:rPr>
          <w:rFonts w:hint="eastAsia"/>
        </w:rPr>
        <w:t>。</w:t>
      </w:r>
    </w:p>
    <w:p w14:paraId="79869849" w14:textId="77777777" w:rsidR="00D213D6" w:rsidRDefault="00000000">
      <w:pPr>
        <w:pStyle w:val="aa"/>
        <w:numPr>
          <w:ilvl w:val="0"/>
          <w:numId w:val="1"/>
        </w:numPr>
        <w:ind w:left="442" w:firstLineChars="0" w:hanging="442"/>
      </w:pPr>
      <w:r>
        <w:rPr>
          <w:rFonts w:hint="eastAsia"/>
        </w:rPr>
        <w:t>公募基金产品中，债券型基金资产净值占比</w:t>
      </w:r>
      <w:r>
        <w:rPr>
          <w:rFonts w:hint="eastAsia"/>
        </w:rPr>
        <w:t>21%</w:t>
      </w:r>
      <w:r>
        <w:rPr>
          <w:rFonts w:hint="eastAsia"/>
        </w:rPr>
        <w:t>，货币型基金占比</w:t>
      </w:r>
      <w:r>
        <w:rPr>
          <w:rFonts w:hint="eastAsia"/>
        </w:rPr>
        <w:t>41%</w:t>
      </w:r>
      <w:r>
        <w:rPr>
          <w:rFonts w:hint="eastAsia"/>
        </w:rPr>
        <w:t>，两者合计占比</w:t>
      </w:r>
      <w:r>
        <w:rPr>
          <w:rFonts w:hint="eastAsia"/>
        </w:rPr>
        <w:t>62%</w:t>
      </w:r>
      <w:r>
        <w:rPr>
          <w:rFonts w:hint="eastAsia"/>
        </w:rPr>
        <w:t>。</w:t>
      </w:r>
    </w:p>
    <w:p w14:paraId="3B8D24D3" w14:textId="77777777" w:rsidR="00D213D6" w:rsidRDefault="00000000">
      <w:pPr>
        <w:pStyle w:val="aa"/>
        <w:numPr>
          <w:ilvl w:val="0"/>
          <w:numId w:val="1"/>
        </w:numPr>
        <w:ind w:left="442" w:firstLineChars="0" w:hanging="442"/>
      </w:pPr>
      <w:r>
        <w:rPr>
          <w:rFonts w:hint="eastAsia"/>
        </w:rPr>
        <w:t>保险资管公司的资产配置以债券、保险资产管理产品和银行存款为主，三者合计占比近八成。截至</w:t>
      </w:r>
      <w:r>
        <w:rPr>
          <w:rFonts w:hint="eastAsia"/>
        </w:rPr>
        <w:t>2023</w:t>
      </w:r>
      <w:r>
        <w:rPr>
          <w:rFonts w:hint="eastAsia"/>
        </w:rPr>
        <w:t>年末，债券投资规模</w:t>
      </w:r>
      <w:r>
        <w:rPr>
          <w:rFonts w:hint="eastAsia"/>
        </w:rPr>
        <w:t>11.86</w:t>
      </w:r>
      <w:r>
        <w:rPr>
          <w:rFonts w:hint="eastAsia"/>
        </w:rPr>
        <w:t>万亿元，占比</w:t>
      </w:r>
      <w:r>
        <w:rPr>
          <w:rFonts w:hint="eastAsia"/>
        </w:rPr>
        <w:t>45.36%</w:t>
      </w:r>
      <w:r>
        <w:rPr>
          <w:rFonts w:hint="eastAsia"/>
        </w:rPr>
        <w:t>；保险资产管理产品规模</w:t>
      </w:r>
      <w:r>
        <w:rPr>
          <w:rFonts w:hint="eastAsia"/>
        </w:rPr>
        <w:t>3.80</w:t>
      </w:r>
      <w:r>
        <w:rPr>
          <w:rFonts w:hint="eastAsia"/>
        </w:rPr>
        <w:t>万亿元，占比</w:t>
      </w:r>
      <w:r>
        <w:rPr>
          <w:rFonts w:hint="eastAsia"/>
        </w:rPr>
        <w:t>14.53%</w:t>
      </w:r>
      <w:r>
        <w:rPr>
          <w:rFonts w:hint="eastAsia"/>
        </w:rPr>
        <w:t>；银行存款规模</w:t>
      </w:r>
      <w:r>
        <w:rPr>
          <w:rFonts w:hint="eastAsia"/>
        </w:rPr>
        <w:t>4</w:t>
      </w:r>
      <w:r>
        <w:rPr>
          <w:rFonts w:hint="eastAsia"/>
        </w:rPr>
        <w:t>万亿元，占比</w:t>
      </w:r>
      <w:r>
        <w:rPr>
          <w:rFonts w:hint="eastAsia"/>
        </w:rPr>
        <w:t>15.29%</w:t>
      </w:r>
      <w:r>
        <w:rPr>
          <w:rFonts w:hint="eastAsia"/>
        </w:rPr>
        <w:t>。</w:t>
      </w:r>
    </w:p>
    <w:p w14:paraId="30CA99AE" w14:textId="77777777" w:rsidR="00D213D6" w:rsidRDefault="00000000">
      <w:pPr>
        <w:pStyle w:val="aa"/>
        <w:numPr>
          <w:ilvl w:val="0"/>
          <w:numId w:val="1"/>
        </w:numPr>
        <w:ind w:left="442" w:firstLineChars="0" w:hanging="442"/>
      </w:pPr>
      <w:r>
        <w:rPr>
          <w:rFonts w:hint="eastAsia"/>
        </w:rPr>
        <w:t>私募基金产品中，股票类基金和混合类基金是最主要组成部分，截至</w:t>
      </w:r>
      <w:r>
        <w:rPr>
          <w:rFonts w:hint="eastAsia"/>
        </w:rPr>
        <w:t>2023</w:t>
      </w:r>
      <w:r>
        <w:rPr>
          <w:rFonts w:hint="eastAsia"/>
        </w:rPr>
        <w:t>年末，基金规模占比分别为</w:t>
      </w:r>
      <w:r>
        <w:rPr>
          <w:rFonts w:hint="eastAsia"/>
        </w:rPr>
        <w:t>37.67%</w:t>
      </w:r>
      <w:r>
        <w:rPr>
          <w:rFonts w:hint="eastAsia"/>
        </w:rPr>
        <w:t>、</w:t>
      </w:r>
      <w:r>
        <w:rPr>
          <w:rFonts w:hint="eastAsia"/>
        </w:rPr>
        <w:t>51.22%</w:t>
      </w:r>
      <w:r>
        <w:rPr>
          <w:rFonts w:hint="eastAsia"/>
        </w:rPr>
        <w:t>。固定收益类基金占私募基金总规模的</w:t>
      </w:r>
      <w:r>
        <w:rPr>
          <w:rFonts w:hint="eastAsia"/>
        </w:rPr>
        <w:t>7.07%</w:t>
      </w:r>
      <w:r>
        <w:rPr>
          <w:rFonts w:hint="eastAsia"/>
        </w:rPr>
        <w:t>，商品及金融衍生品类基金占比为</w:t>
      </w:r>
      <w:r>
        <w:rPr>
          <w:rFonts w:hint="eastAsia"/>
        </w:rPr>
        <w:t>3.57%</w:t>
      </w:r>
      <w:r>
        <w:rPr>
          <w:rFonts w:hint="eastAsia"/>
        </w:rPr>
        <w:t>。</w:t>
      </w:r>
    </w:p>
    <w:p w14:paraId="677678AF" w14:textId="77777777" w:rsidR="00D213D6" w:rsidRDefault="00000000">
      <w:pPr>
        <w:pStyle w:val="aa"/>
        <w:numPr>
          <w:ilvl w:val="0"/>
          <w:numId w:val="1"/>
        </w:numPr>
        <w:ind w:left="442" w:firstLineChars="0" w:hanging="442"/>
      </w:pPr>
      <w:r>
        <w:rPr>
          <w:rFonts w:hint="eastAsia"/>
        </w:rPr>
        <w:t>证券行业自营投资在资产配置方面以债券为主，</w:t>
      </w:r>
      <w:r>
        <w:rPr>
          <w:rFonts w:hint="eastAsia"/>
        </w:rPr>
        <w:t>2020</w:t>
      </w:r>
      <w:r>
        <w:rPr>
          <w:rFonts w:hint="eastAsia"/>
        </w:rPr>
        <w:t>年</w:t>
      </w:r>
      <w:r>
        <w:rPr>
          <w:rFonts w:hint="eastAsia"/>
        </w:rPr>
        <w:t>-2023</w:t>
      </w:r>
      <w:r>
        <w:rPr>
          <w:rFonts w:hint="eastAsia"/>
        </w:rPr>
        <w:t>年上半年，债券投资规模占比基本保持在</w:t>
      </w:r>
      <w:r>
        <w:rPr>
          <w:rFonts w:hint="eastAsia"/>
        </w:rPr>
        <w:t>65%</w:t>
      </w:r>
      <w:r>
        <w:rPr>
          <w:rFonts w:hint="eastAsia"/>
        </w:rPr>
        <w:t>以上。</w:t>
      </w:r>
    </w:p>
    <w:p w14:paraId="4700AE8F" w14:textId="77777777" w:rsidR="00D213D6" w:rsidRDefault="00D213D6">
      <w:pPr>
        <w:ind w:firstLine="480"/>
      </w:pPr>
    </w:p>
    <w:p w14:paraId="00358DC1" w14:textId="77777777" w:rsidR="00D213D6" w:rsidRDefault="00000000">
      <w:pPr>
        <w:ind w:firstLineChars="0" w:firstLine="0"/>
        <w:jc w:val="center"/>
        <w:rPr>
          <w:rFonts w:ascii="楷体" w:eastAsia="楷体" w:hAnsi="楷体"/>
        </w:rPr>
      </w:pPr>
      <w:r>
        <w:rPr>
          <w:rFonts w:ascii="楷体" w:eastAsia="楷体" w:hAnsi="楷体" w:hint="eastAsia"/>
        </w:rPr>
        <w:lastRenderedPageBreak/>
        <w:t>证券行业自营投资资产配置结构</w:t>
      </w:r>
    </w:p>
    <w:p w14:paraId="218BC483" w14:textId="77777777" w:rsidR="00D213D6" w:rsidRDefault="00000000">
      <w:pPr>
        <w:ind w:firstLineChars="0" w:firstLine="0"/>
        <w:jc w:val="center"/>
      </w:pPr>
      <w:r>
        <w:rPr>
          <w:noProof/>
        </w:rPr>
        <w:drawing>
          <wp:inline distT="0" distB="0" distL="114300" distR="114300" wp14:anchorId="5042E49B" wp14:editId="3148FC4E">
            <wp:extent cx="4961890" cy="2769235"/>
            <wp:effectExtent l="0" t="0" r="3810" b="1206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4961890" cy="2769235"/>
                    </a:xfrm>
                    <a:prstGeom prst="rect">
                      <a:avLst/>
                    </a:prstGeom>
                    <a:noFill/>
                    <a:ln>
                      <a:noFill/>
                    </a:ln>
                  </pic:spPr>
                </pic:pic>
              </a:graphicData>
            </a:graphic>
          </wp:inline>
        </w:drawing>
      </w:r>
    </w:p>
    <w:p w14:paraId="09FE8D31" w14:textId="77777777" w:rsidR="00D213D6" w:rsidRDefault="00000000">
      <w:pPr>
        <w:ind w:firstLineChars="0" w:firstLine="0"/>
        <w:rPr>
          <w:rFonts w:ascii="楷体" w:eastAsia="楷体" w:hAnsi="楷体"/>
        </w:rPr>
      </w:pPr>
      <w:r>
        <w:rPr>
          <w:rFonts w:ascii="楷体" w:eastAsia="楷体" w:hAnsi="楷体" w:hint="eastAsia"/>
        </w:rPr>
        <w:t>（数据来源：中国证券业协会）</w:t>
      </w:r>
    </w:p>
    <w:p w14:paraId="057B4A20" w14:textId="77777777" w:rsidR="00D213D6" w:rsidRDefault="00D213D6">
      <w:pPr>
        <w:ind w:firstLine="480"/>
      </w:pPr>
    </w:p>
    <w:p w14:paraId="65D75F60" w14:textId="77777777" w:rsidR="00D213D6" w:rsidRDefault="00000000">
      <w:pPr>
        <w:ind w:firstLineChars="0" w:firstLine="0"/>
      </w:pPr>
      <w:r>
        <w:rPr>
          <w:noProof/>
        </w:rPr>
        <w:drawing>
          <wp:inline distT="0" distB="0" distL="114300" distR="114300" wp14:anchorId="580408B0" wp14:editId="2DCE254D">
            <wp:extent cx="4987925" cy="2713990"/>
            <wp:effectExtent l="4445" t="4445" r="11430" b="12065"/>
            <wp:docPr id="8"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272D718" w14:textId="77777777" w:rsidR="00D213D6" w:rsidRDefault="00D213D6">
      <w:pPr>
        <w:ind w:firstLine="480"/>
      </w:pPr>
    </w:p>
    <w:p w14:paraId="5AB278CD" w14:textId="77777777" w:rsidR="00D213D6" w:rsidRDefault="00000000">
      <w:pPr>
        <w:pStyle w:val="2"/>
      </w:pPr>
      <w:r>
        <w:rPr>
          <w:rFonts w:hint="eastAsia"/>
        </w:rPr>
        <w:t>（二）</w:t>
      </w:r>
      <w:r>
        <w:rPr>
          <w:rFonts w:hint="eastAsia"/>
        </w:rPr>
        <w:t>FICC</w:t>
      </w:r>
      <w:r>
        <w:rPr>
          <w:rFonts w:hint="eastAsia"/>
        </w:rPr>
        <w:t>业务投资品种多、业务范围广，建设</w:t>
      </w:r>
      <w:r>
        <w:rPr>
          <w:rFonts w:hint="eastAsia"/>
        </w:rPr>
        <w:t>FICC</w:t>
      </w:r>
      <w:r>
        <w:rPr>
          <w:rFonts w:hint="eastAsia"/>
        </w:rPr>
        <w:t>系统有积累多、可复用性好的优势</w:t>
      </w:r>
    </w:p>
    <w:p w14:paraId="0BD13C73" w14:textId="77777777" w:rsidR="00D213D6" w:rsidRDefault="00000000">
      <w:pPr>
        <w:ind w:firstLine="480"/>
      </w:pPr>
      <w:r>
        <w:rPr>
          <w:rFonts w:hint="eastAsia"/>
        </w:rPr>
        <w:t>FICC</w:t>
      </w:r>
      <w:r>
        <w:rPr>
          <w:rFonts w:hint="eastAsia"/>
        </w:rPr>
        <w:t>业务是在传统固定收益业务基础上，将外汇以及商品等业务线和产品线进行有机整合，为客户提供跨风险、跨宏观周期的综合性金融解决方案，其具有投资品种多，业务范围广、涉及多元交易场所的特征。</w:t>
      </w:r>
    </w:p>
    <w:p w14:paraId="7508B16F" w14:textId="77777777" w:rsidR="00D213D6" w:rsidRDefault="00000000">
      <w:r>
        <w:rPr>
          <w:rFonts w:hint="eastAsia"/>
          <w:b/>
          <w:bCs/>
        </w:rPr>
        <w:lastRenderedPageBreak/>
        <w:t>按照产品内容划分</w:t>
      </w:r>
      <w:r>
        <w:rPr>
          <w:rFonts w:hint="eastAsia"/>
        </w:rPr>
        <w:t>，</w:t>
      </w:r>
      <w:r>
        <w:rPr>
          <w:rFonts w:hint="eastAsia"/>
        </w:rPr>
        <w:t>FICC</w:t>
      </w:r>
      <w:r>
        <w:rPr>
          <w:rFonts w:hint="eastAsia"/>
        </w:rPr>
        <w:t>业务涵盖固定收益、外汇、商品三大资产类别，每类资产内部又细分多个品种和衍生品。这种多品种特性要求系统具备强大的产品管理能力和灵活的参数配置机制。通过在</w:t>
      </w:r>
      <w:r>
        <w:rPr>
          <w:rFonts w:hint="eastAsia"/>
        </w:rPr>
        <w:t>FICC</w:t>
      </w:r>
      <w:r>
        <w:rPr>
          <w:rFonts w:hint="eastAsia"/>
        </w:rPr>
        <w:t>业务场景中构建系统，可以一次性解决债券、外汇、大宗商品等多类资产的估值、交易、风控等问题，实现“一石多鸟”的系统覆盖效果。</w:t>
      </w:r>
    </w:p>
    <w:tbl>
      <w:tblPr>
        <w:tblStyle w:val="a8"/>
        <w:tblW w:w="5000" w:type="pct"/>
        <w:tblLook w:val="04A0" w:firstRow="1" w:lastRow="0" w:firstColumn="1" w:lastColumn="0" w:noHBand="0" w:noVBand="1"/>
      </w:tblPr>
      <w:tblGrid>
        <w:gridCol w:w="1761"/>
        <w:gridCol w:w="2208"/>
        <w:gridCol w:w="4327"/>
      </w:tblGrid>
      <w:tr w:rsidR="00D213D6" w14:paraId="5E1B1FA3" w14:textId="77777777">
        <w:tc>
          <w:tcPr>
            <w:tcW w:w="1061" w:type="pct"/>
            <w:vMerge w:val="restart"/>
            <w:vAlign w:val="center"/>
          </w:tcPr>
          <w:p w14:paraId="698BEF39"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固定收益类产品</w:t>
            </w:r>
          </w:p>
        </w:tc>
        <w:tc>
          <w:tcPr>
            <w:tcW w:w="1331" w:type="pct"/>
            <w:vAlign w:val="center"/>
          </w:tcPr>
          <w:p w14:paraId="3865604F"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固定收益现货产品</w:t>
            </w:r>
          </w:p>
        </w:tc>
        <w:tc>
          <w:tcPr>
            <w:tcW w:w="2608" w:type="pct"/>
          </w:tcPr>
          <w:p w14:paraId="242C812E"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利率产品：国债、央行票据、金融债、有担保企业债等</w:t>
            </w:r>
          </w:p>
          <w:p w14:paraId="5A648A51"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信用产品：地方政府债、无担保企业债、公司债等</w:t>
            </w:r>
          </w:p>
        </w:tc>
      </w:tr>
      <w:tr w:rsidR="00D213D6" w14:paraId="55A5257D" w14:textId="77777777">
        <w:tc>
          <w:tcPr>
            <w:tcW w:w="1061" w:type="pct"/>
            <w:vMerge/>
          </w:tcPr>
          <w:p w14:paraId="5199A4BA" w14:textId="77777777" w:rsidR="00D213D6" w:rsidRDefault="00D213D6">
            <w:pPr>
              <w:adjustRightInd w:val="0"/>
              <w:spacing w:beforeLines="0" w:before="0" w:afterLines="0" w:after="0" w:line="240" w:lineRule="auto"/>
              <w:ind w:firstLineChars="0" w:firstLine="0"/>
              <w:rPr>
                <w:rFonts w:ascii="楷体" w:eastAsia="楷体" w:hAnsi="楷体"/>
                <w:sz w:val="21"/>
                <w:szCs w:val="21"/>
              </w:rPr>
            </w:pPr>
          </w:p>
        </w:tc>
        <w:tc>
          <w:tcPr>
            <w:tcW w:w="1331" w:type="pct"/>
            <w:vAlign w:val="center"/>
          </w:tcPr>
          <w:p w14:paraId="0E515EB9"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固定收益结构化产品</w:t>
            </w:r>
          </w:p>
        </w:tc>
        <w:tc>
          <w:tcPr>
            <w:tcW w:w="2608" w:type="pct"/>
          </w:tcPr>
          <w:p w14:paraId="62AB88F1"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资产支持证券：信贷证券化、不良贷款证券化、专项资产管理计划</w:t>
            </w:r>
          </w:p>
          <w:p w14:paraId="69B1660E"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衍生产品：远期利率协议、利率期货、利率期权、利率互换等</w:t>
            </w:r>
          </w:p>
        </w:tc>
      </w:tr>
      <w:tr w:rsidR="00D213D6" w14:paraId="5E23F741" w14:textId="77777777">
        <w:tc>
          <w:tcPr>
            <w:tcW w:w="1061" w:type="pct"/>
            <w:vMerge w:val="restart"/>
            <w:vAlign w:val="center"/>
          </w:tcPr>
          <w:p w14:paraId="3B9C16A9"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外汇类产品</w:t>
            </w:r>
          </w:p>
        </w:tc>
        <w:tc>
          <w:tcPr>
            <w:tcW w:w="1331" w:type="pct"/>
            <w:vAlign w:val="center"/>
          </w:tcPr>
          <w:p w14:paraId="6E1E1A99"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外汇现货</w:t>
            </w:r>
          </w:p>
        </w:tc>
        <w:tc>
          <w:tcPr>
            <w:tcW w:w="2608" w:type="pct"/>
          </w:tcPr>
          <w:p w14:paraId="13EF4B2F" w14:textId="77777777" w:rsidR="00D213D6" w:rsidRDefault="00D213D6">
            <w:pPr>
              <w:adjustRightInd w:val="0"/>
              <w:spacing w:beforeLines="0" w:before="0" w:afterLines="0" w:after="0" w:line="240" w:lineRule="auto"/>
              <w:ind w:firstLineChars="0" w:firstLine="0"/>
              <w:rPr>
                <w:rFonts w:ascii="楷体" w:eastAsia="楷体" w:hAnsi="楷体"/>
                <w:sz w:val="21"/>
                <w:szCs w:val="21"/>
              </w:rPr>
            </w:pPr>
          </w:p>
        </w:tc>
      </w:tr>
      <w:tr w:rsidR="00D213D6" w14:paraId="7A135ED0" w14:textId="77777777">
        <w:tc>
          <w:tcPr>
            <w:tcW w:w="1061" w:type="pct"/>
            <w:vMerge/>
          </w:tcPr>
          <w:p w14:paraId="24D166C3" w14:textId="77777777" w:rsidR="00D213D6" w:rsidRDefault="00D213D6">
            <w:pPr>
              <w:adjustRightInd w:val="0"/>
              <w:spacing w:beforeLines="0" w:before="0" w:afterLines="0" w:after="0" w:line="240" w:lineRule="auto"/>
              <w:ind w:firstLineChars="0" w:firstLine="0"/>
              <w:rPr>
                <w:rFonts w:ascii="楷体" w:eastAsia="楷体" w:hAnsi="楷体"/>
                <w:sz w:val="21"/>
                <w:szCs w:val="21"/>
              </w:rPr>
            </w:pPr>
          </w:p>
        </w:tc>
        <w:tc>
          <w:tcPr>
            <w:tcW w:w="1331" w:type="pct"/>
            <w:vAlign w:val="center"/>
          </w:tcPr>
          <w:p w14:paraId="105FFAC5"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外汇衍生品</w:t>
            </w:r>
          </w:p>
        </w:tc>
        <w:tc>
          <w:tcPr>
            <w:tcW w:w="2608" w:type="pct"/>
          </w:tcPr>
          <w:p w14:paraId="4D240652"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外汇远期交易、外汇掉期交易、外汇择期交易、外汇期权、外汇期货等</w:t>
            </w:r>
          </w:p>
        </w:tc>
      </w:tr>
      <w:tr w:rsidR="00D213D6" w14:paraId="17B29EDE" w14:textId="77777777">
        <w:tc>
          <w:tcPr>
            <w:tcW w:w="1061" w:type="pct"/>
            <w:vMerge w:val="restart"/>
            <w:vAlign w:val="center"/>
          </w:tcPr>
          <w:p w14:paraId="54294866"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商品类资产</w:t>
            </w:r>
          </w:p>
        </w:tc>
        <w:tc>
          <w:tcPr>
            <w:tcW w:w="1331" w:type="pct"/>
            <w:vAlign w:val="center"/>
          </w:tcPr>
          <w:p w14:paraId="4ECB4E31"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商品现货</w:t>
            </w:r>
          </w:p>
        </w:tc>
        <w:tc>
          <w:tcPr>
            <w:tcW w:w="2608" w:type="pct"/>
          </w:tcPr>
          <w:p w14:paraId="68837F2C" w14:textId="77777777" w:rsidR="00D213D6" w:rsidRDefault="00D213D6">
            <w:pPr>
              <w:adjustRightInd w:val="0"/>
              <w:spacing w:beforeLines="0" w:before="0" w:afterLines="0" w:after="0" w:line="240" w:lineRule="auto"/>
              <w:ind w:firstLineChars="0" w:firstLine="0"/>
              <w:rPr>
                <w:rFonts w:ascii="楷体" w:eastAsia="楷体" w:hAnsi="楷体"/>
                <w:sz w:val="21"/>
                <w:szCs w:val="21"/>
              </w:rPr>
            </w:pPr>
          </w:p>
        </w:tc>
      </w:tr>
      <w:tr w:rsidR="00D213D6" w14:paraId="17116F68" w14:textId="77777777">
        <w:tc>
          <w:tcPr>
            <w:tcW w:w="1061" w:type="pct"/>
            <w:vMerge/>
          </w:tcPr>
          <w:p w14:paraId="3A8562FF" w14:textId="77777777" w:rsidR="00D213D6" w:rsidRDefault="00D213D6">
            <w:pPr>
              <w:adjustRightInd w:val="0"/>
              <w:spacing w:beforeLines="0" w:before="0" w:afterLines="0" w:after="0" w:line="240" w:lineRule="auto"/>
              <w:ind w:firstLineChars="0" w:firstLine="0"/>
              <w:rPr>
                <w:rFonts w:ascii="楷体" w:eastAsia="楷体" w:hAnsi="楷体"/>
                <w:sz w:val="21"/>
                <w:szCs w:val="21"/>
              </w:rPr>
            </w:pPr>
          </w:p>
        </w:tc>
        <w:tc>
          <w:tcPr>
            <w:tcW w:w="1331" w:type="pct"/>
            <w:vAlign w:val="center"/>
          </w:tcPr>
          <w:p w14:paraId="2A339AE4"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商品期货</w:t>
            </w:r>
          </w:p>
        </w:tc>
        <w:tc>
          <w:tcPr>
            <w:tcW w:w="2608" w:type="pct"/>
          </w:tcPr>
          <w:p w14:paraId="18C9F6E5" w14:textId="77777777" w:rsidR="00D213D6" w:rsidRDefault="00000000">
            <w:pPr>
              <w:adjustRightInd w:val="0"/>
              <w:spacing w:beforeLines="0" w:before="0" w:afterLines="0" w:after="0" w:line="240" w:lineRule="auto"/>
              <w:ind w:firstLineChars="0" w:firstLine="0"/>
              <w:rPr>
                <w:rFonts w:ascii="楷体" w:eastAsia="楷体" w:hAnsi="楷体"/>
                <w:sz w:val="21"/>
                <w:szCs w:val="21"/>
              </w:rPr>
            </w:pPr>
            <w:r>
              <w:rPr>
                <w:rFonts w:ascii="楷体" w:eastAsia="楷体" w:hAnsi="楷体" w:hint="eastAsia"/>
                <w:sz w:val="21"/>
                <w:szCs w:val="21"/>
              </w:rPr>
              <w:t>农产品期货、工业品期货</w:t>
            </w:r>
          </w:p>
        </w:tc>
      </w:tr>
    </w:tbl>
    <w:p w14:paraId="12EBB5D0" w14:textId="77777777" w:rsidR="00D213D6" w:rsidRDefault="00000000">
      <w:r>
        <w:rPr>
          <w:rFonts w:hint="eastAsia"/>
          <w:b/>
          <w:bCs/>
        </w:rPr>
        <w:t>从业务类型看，</w:t>
      </w:r>
      <w:r>
        <w:rPr>
          <w:rFonts w:hint="eastAsia"/>
        </w:rPr>
        <w:t>FICC</w:t>
      </w:r>
      <w:r>
        <w:rPr>
          <w:rFonts w:hint="eastAsia"/>
        </w:rPr>
        <w:t>条线主要业务模式包括承销、投资交易、做市业务、投资顾问、资本中介、产品设计、研究服务等业务，涉及证券公司投行、自营、研究等多个业务部门。</w:t>
      </w:r>
      <w:r>
        <w:rPr>
          <w:rFonts w:hint="eastAsia"/>
        </w:rPr>
        <w:t>FICC</w:t>
      </w:r>
      <w:r>
        <w:rPr>
          <w:rFonts w:hint="eastAsia"/>
        </w:rPr>
        <w:t>系统的核心组件能够快速适配自营投资、销售交易、风险管理等不同业务条线。这种高度的可复用性不仅显著降低了新业务品种或新部门接入系统的开发成本，也使得科技投入能够持续积累并转化为可长期运营的核心业务资产。</w:t>
      </w:r>
    </w:p>
    <w:p w14:paraId="77AA958C" w14:textId="77777777" w:rsidR="00D213D6" w:rsidRDefault="00000000">
      <w:pPr>
        <w:ind w:firstLineChars="0" w:firstLine="0"/>
      </w:pPr>
      <w:r>
        <w:rPr>
          <w:noProof/>
        </w:rPr>
        <w:drawing>
          <wp:inline distT="0" distB="0" distL="114300" distR="114300" wp14:anchorId="5879BAE3" wp14:editId="51036DFB">
            <wp:extent cx="5352415" cy="2756535"/>
            <wp:effectExtent l="0" t="0" r="698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352415" cy="2756535"/>
                    </a:xfrm>
                    <a:prstGeom prst="rect">
                      <a:avLst/>
                    </a:prstGeom>
                    <a:noFill/>
                    <a:ln>
                      <a:noFill/>
                    </a:ln>
                  </pic:spPr>
                </pic:pic>
              </a:graphicData>
            </a:graphic>
          </wp:inline>
        </w:drawing>
      </w:r>
    </w:p>
    <w:p w14:paraId="66380369" w14:textId="77777777" w:rsidR="00D213D6" w:rsidRDefault="00000000">
      <w:pPr>
        <w:ind w:firstLine="480"/>
      </w:pPr>
      <w:r>
        <w:rPr>
          <w:rFonts w:hint="eastAsia"/>
          <w:highlight w:val="yellow"/>
        </w:rPr>
        <w:t>销售：销售交易</w:t>
      </w:r>
    </w:p>
    <w:p w14:paraId="0DE7AE30" w14:textId="77777777" w:rsidR="00D213D6" w:rsidRDefault="00000000">
      <w:pPr>
        <w:ind w:firstLine="480"/>
      </w:pPr>
      <w:r>
        <w:rPr>
          <w:rFonts w:hint="eastAsia"/>
        </w:rPr>
        <w:lastRenderedPageBreak/>
        <w:t>证券公司</w:t>
      </w:r>
      <w:r>
        <w:rPr>
          <w:rFonts w:hint="eastAsia"/>
        </w:rPr>
        <w:t>FICC</w:t>
      </w:r>
      <w:r>
        <w:rPr>
          <w:rFonts w:hint="eastAsia"/>
        </w:rPr>
        <w:t>业务覆盖的市场范围广泛，包括交易所市场、银行间市场和券商柜台市场等多个交易场所。部分头部券商已在全球主要金融市场布局，例如中信证券通过中信里昂和中信证券国际，在香港、新加坡、东京、伦敦、阿姆斯特丹、纽约等多地开展</w:t>
      </w:r>
      <w:r>
        <w:rPr>
          <w:rFonts w:hint="eastAsia"/>
        </w:rPr>
        <w:t>FICC</w:t>
      </w:r>
      <w:r>
        <w:rPr>
          <w:rFonts w:hint="eastAsia"/>
        </w:rPr>
        <w:t>业务，覆盖全球超过</w:t>
      </w:r>
      <w:r>
        <w:rPr>
          <w:rFonts w:hint="eastAsia"/>
        </w:rPr>
        <w:t>800</w:t>
      </w:r>
      <w:r>
        <w:rPr>
          <w:rFonts w:hint="eastAsia"/>
        </w:rPr>
        <w:t>家机构投资者。这种多市场特性要求系统具备跨市场、多币种的交易处理能力。通过在</w:t>
      </w:r>
      <w:r>
        <w:rPr>
          <w:rFonts w:hint="eastAsia"/>
        </w:rPr>
        <w:t>FICC</w:t>
      </w:r>
      <w:r>
        <w:rPr>
          <w:rFonts w:hint="eastAsia"/>
        </w:rPr>
        <w:t>业务场景中建设系统，可以全面验证系统在不同市场环境下的适应性和稳定性。</w:t>
      </w:r>
    </w:p>
    <w:p w14:paraId="0C120F27" w14:textId="77777777" w:rsidR="00D213D6" w:rsidRDefault="00000000">
      <w:pPr>
        <w:ind w:firstLineChars="0" w:firstLine="0"/>
      </w:pPr>
      <w:r>
        <w:rPr>
          <w:noProof/>
        </w:rPr>
        <w:drawing>
          <wp:inline distT="0" distB="0" distL="114300" distR="114300" wp14:anchorId="0B9F1605" wp14:editId="711C7D81">
            <wp:extent cx="5269865" cy="3263265"/>
            <wp:effectExtent l="0" t="0" r="635" b="63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1"/>
                    <a:stretch>
                      <a:fillRect/>
                    </a:stretch>
                  </pic:blipFill>
                  <pic:spPr>
                    <a:xfrm>
                      <a:off x="0" y="0"/>
                      <a:ext cx="5269865" cy="3263265"/>
                    </a:xfrm>
                    <a:prstGeom prst="rect">
                      <a:avLst/>
                    </a:prstGeom>
                    <a:noFill/>
                    <a:ln>
                      <a:noFill/>
                    </a:ln>
                  </pic:spPr>
                </pic:pic>
              </a:graphicData>
            </a:graphic>
          </wp:inline>
        </w:drawing>
      </w:r>
    </w:p>
    <w:p w14:paraId="2BDC08FC" w14:textId="77777777" w:rsidR="00D213D6" w:rsidRDefault="00000000">
      <w:pPr>
        <w:ind w:firstLine="480"/>
        <w:rPr>
          <w:highlight w:val="yellow"/>
        </w:rPr>
      </w:pPr>
      <w:r>
        <w:rPr>
          <w:rFonts w:hint="eastAsia"/>
          <w:highlight w:val="yellow"/>
        </w:rPr>
        <w:t>境外金融市场：债券市场</w:t>
      </w:r>
      <w:r>
        <w:rPr>
          <w:rFonts w:hint="eastAsia"/>
          <w:highlight w:val="yellow"/>
        </w:rPr>
        <w:t>-</w:t>
      </w:r>
      <w:r>
        <w:rPr>
          <w:rFonts w:hint="eastAsia"/>
          <w:highlight w:val="yellow"/>
        </w:rPr>
        <w:t>中资美元债、债券组合、票据等</w:t>
      </w:r>
    </w:p>
    <w:p w14:paraId="33517FC4" w14:textId="77777777" w:rsidR="00D213D6" w:rsidRDefault="00000000">
      <w:pPr>
        <w:ind w:firstLine="480"/>
        <w:rPr>
          <w:highlight w:val="yellow"/>
        </w:rPr>
      </w:pPr>
      <w:r>
        <w:rPr>
          <w:rFonts w:hint="eastAsia"/>
          <w:highlight w:val="yellow"/>
        </w:rPr>
        <w:t xml:space="preserve">              </w:t>
      </w:r>
      <w:r>
        <w:rPr>
          <w:rFonts w:hint="eastAsia"/>
          <w:highlight w:val="yellow"/>
        </w:rPr>
        <w:t>股票市场</w:t>
      </w:r>
      <w:r>
        <w:rPr>
          <w:rFonts w:hint="eastAsia"/>
          <w:highlight w:val="yellow"/>
        </w:rPr>
        <w:t>-</w:t>
      </w:r>
      <w:r>
        <w:rPr>
          <w:rFonts w:hint="eastAsia"/>
          <w:highlight w:val="yellow"/>
        </w:rPr>
        <w:t>港股、美股、</w:t>
      </w:r>
      <w:r>
        <w:rPr>
          <w:rFonts w:hint="eastAsia"/>
          <w:highlight w:val="yellow"/>
        </w:rPr>
        <w:t>GDRs</w:t>
      </w:r>
      <w:r>
        <w:rPr>
          <w:rFonts w:hint="eastAsia"/>
          <w:highlight w:val="yellow"/>
        </w:rPr>
        <w:t>等</w:t>
      </w:r>
    </w:p>
    <w:p w14:paraId="589F6256" w14:textId="77777777" w:rsidR="00D213D6" w:rsidRDefault="00000000">
      <w:pPr>
        <w:ind w:firstLine="480"/>
        <w:rPr>
          <w:highlight w:val="yellow"/>
        </w:rPr>
      </w:pPr>
      <w:r>
        <w:rPr>
          <w:rFonts w:hint="eastAsia"/>
          <w:highlight w:val="yellow"/>
        </w:rPr>
        <w:t xml:space="preserve">              </w:t>
      </w:r>
      <w:r>
        <w:rPr>
          <w:rFonts w:hint="eastAsia"/>
          <w:highlight w:val="yellow"/>
        </w:rPr>
        <w:t>衍生品市场</w:t>
      </w:r>
      <w:r>
        <w:rPr>
          <w:rFonts w:hint="eastAsia"/>
          <w:highlight w:val="yellow"/>
        </w:rPr>
        <w:t>-</w:t>
      </w:r>
      <w:r>
        <w:rPr>
          <w:rFonts w:hint="eastAsia"/>
          <w:highlight w:val="yellow"/>
        </w:rPr>
        <w:t>美国国债期货、欧洲美元期货等</w:t>
      </w:r>
    </w:p>
    <w:p w14:paraId="758C58CD" w14:textId="77777777" w:rsidR="00D213D6" w:rsidRDefault="00000000">
      <w:pPr>
        <w:ind w:firstLine="480"/>
        <w:rPr>
          <w:highlight w:val="yellow"/>
        </w:rPr>
      </w:pPr>
      <w:r>
        <w:rPr>
          <w:rFonts w:hint="eastAsia"/>
          <w:highlight w:val="yellow"/>
        </w:rPr>
        <w:t>外汇市场</w:t>
      </w:r>
    </w:p>
    <w:p w14:paraId="2437AF54" w14:textId="77777777" w:rsidR="00D213D6" w:rsidRDefault="00D213D6">
      <w:pPr>
        <w:ind w:firstLine="480"/>
      </w:pPr>
    </w:p>
    <w:p w14:paraId="074DF0ED" w14:textId="77777777" w:rsidR="00D213D6" w:rsidRDefault="00000000">
      <w:pPr>
        <w:pStyle w:val="1"/>
      </w:pPr>
      <w:r>
        <w:rPr>
          <w:rFonts w:hint="eastAsia"/>
        </w:rPr>
        <w:t>二、选择证券公司</w:t>
      </w:r>
      <w:r>
        <w:rPr>
          <w:rFonts w:hint="eastAsia"/>
        </w:rPr>
        <w:t>FICC</w:t>
      </w:r>
      <w:r>
        <w:rPr>
          <w:rFonts w:hint="eastAsia"/>
        </w:rPr>
        <w:t>作为</w:t>
      </w:r>
      <w:r>
        <w:rPr>
          <w:rFonts w:hint="eastAsia"/>
        </w:rPr>
        <w:t>FICC</w:t>
      </w:r>
      <w:r>
        <w:rPr>
          <w:rFonts w:hint="eastAsia"/>
        </w:rPr>
        <w:t>系统建设起点的原因</w:t>
      </w:r>
    </w:p>
    <w:p w14:paraId="54206B8B" w14:textId="77777777" w:rsidR="00D213D6" w:rsidRDefault="00000000">
      <w:r>
        <w:rPr>
          <w:rFonts w:hint="eastAsia"/>
          <w:b/>
          <w:bCs/>
        </w:rPr>
        <w:t>【论点】</w:t>
      </w:r>
      <w:r>
        <w:rPr>
          <w:rFonts w:hint="eastAsia"/>
        </w:rPr>
        <w:t>证券公司</w:t>
      </w:r>
      <w:r>
        <w:rPr>
          <w:rFonts w:hint="eastAsia"/>
        </w:rPr>
        <w:t>FICC</w:t>
      </w:r>
      <w:r>
        <w:rPr>
          <w:rFonts w:hint="eastAsia"/>
        </w:rPr>
        <w:t>业务形态复杂，账户体系和业务场景复杂，以其为起点能获得较大系统覆盖；对业务效果要求高，与收益挂钩，建设成功说明系统基础牢固，能匹配其他资管</w:t>
      </w:r>
      <w:r>
        <w:rPr>
          <w:rFonts w:hint="eastAsia"/>
        </w:rPr>
        <w:t>FICC</w:t>
      </w:r>
      <w:r>
        <w:rPr>
          <w:rFonts w:hint="eastAsia"/>
        </w:rPr>
        <w:t>需要；且其自营场景</w:t>
      </w:r>
      <w:r>
        <w:rPr>
          <w:rFonts w:hint="eastAsia"/>
        </w:rPr>
        <w:t>FICC</w:t>
      </w:r>
      <w:r>
        <w:rPr>
          <w:rFonts w:hint="eastAsia"/>
        </w:rPr>
        <w:t>代表未来资管机构发展方向。</w:t>
      </w:r>
    </w:p>
    <w:p w14:paraId="7ACA9D37" w14:textId="77777777" w:rsidR="00D213D6" w:rsidRDefault="00D213D6">
      <w:pPr>
        <w:ind w:firstLine="480"/>
      </w:pPr>
    </w:p>
    <w:p w14:paraId="26A4D543" w14:textId="10140818" w:rsidR="00CA5D29" w:rsidRPr="002121CA" w:rsidRDefault="00CA5D29">
      <w:pPr>
        <w:ind w:firstLine="480"/>
        <w:rPr>
          <w:color w:val="EE0000"/>
        </w:rPr>
      </w:pPr>
      <w:r w:rsidRPr="002121CA">
        <w:rPr>
          <w:rFonts w:hint="eastAsia"/>
          <w:color w:val="EE0000"/>
        </w:rPr>
        <w:lastRenderedPageBreak/>
        <w:t>可以增加的论点：</w:t>
      </w:r>
    </w:p>
    <w:p w14:paraId="226BE7CA" w14:textId="5CC37021" w:rsidR="00CA5D29" w:rsidRPr="002121CA" w:rsidRDefault="00CA5D29">
      <w:pPr>
        <w:ind w:firstLine="480"/>
        <w:rPr>
          <w:color w:val="EE0000"/>
        </w:rPr>
      </w:pPr>
      <w:r w:rsidRPr="002121CA">
        <w:rPr>
          <w:rFonts w:hint="eastAsia"/>
          <w:color w:val="EE0000"/>
        </w:rPr>
        <w:t>1</w:t>
      </w:r>
      <w:r w:rsidRPr="002121CA">
        <w:rPr>
          <w:rFonts w:hint="eastAsia"/>
          <w:color w:val="EE0000"/>
        </w:rPr>
        <w:t>）。自营是券商最重要的盈利来源</w:t>
      </w:r>
    </w:p>
    <w:p w14:paraId="4686078E" w14:textId="4F5AA638" w:rsidR="00CA5D29" w:rsidRPr="002121CA" w:rsidRDefault="00CA5D29">
      <w:pPr>
        <w:ind w:firstLine="480"/>
        <w:rPr>
          <w:color w:val="EE0000"/>
        </w:rPr>
      </w:pPr>
      <w:r w:rsidRPr="002121CA">
        <w:rPr>
          <w:rFonts w:hint="eastAsia"/>
          <w:color w:val="EE0000"/>
        </w:rPr>
        <w:t>2</w:t>
      </w:r>
      <w:r w:rsidRPr="002121CA">
        <w:rPr>
          <w:rFonts w:hint="eastAsia"/>
          <w:color w:val="EE0000"/>
        </w:rPr>
        <w:t>）。</w:t>
      </w:r>
      <w:r w:rsidRPr="002121CA">
        <w:rPr>
          <w:rFonts w:hint="eastAsia"/>
          <w:color w:val="EE0000"/>
        </w:rPr>
        <w:t xml:space="preserve"> </w:t>
      </w:r>
      <w:r w:rsidRPr="002121CA">
        <w:rPr>
          <w:rFonts w:hint="eastAsia"/>
          <w:color w:val="EE0000"/>
        </w:rPr>
        <w:t>自营中</w:t>
      </w:r>
      <w:r w:rsidRPr="002121CA">
        <w:rPr>
          <w:rFonts w:hint="eastAsia"/>
          <w:color w:val="EE0000"/>
        </w:rPr>
        <w:t>FICC</w:t>
      </w:r>
      <w:r w:rsidRPr="002121CA">
        <w:rPr>
          <w:rFonts w:hint="eastAsia"/>
          <w:color w:val="EE0000"/>
        </w:rPr>
        <w:t>是最大，风险最低的一块</w:t>
      </w:r>
      <w:r w:rsidR="00292281">
        <w:rPr>
          <w:rFonts w:hint="eastAsia"/>
          <w:color w:val="EE0000"/>
        </w:rPr>
        <w:t>，去方向性是大趋势，也是必须实现的</w:t>
      </w:r>
    </w:p>
    <w:p w14:paraId="1333A059" w14:textId="6117F6D0" w:rsidR="00CA5D29" w:rsidRPr="002121CA" w:rsidRDefault="00CA5D29">
      <w:pPr>
        <w:ind w:firstLine="480"/>
        <w:rPr>
          <w:color w:val="EE0000"/>
        </w:rPr>
      </w:pPr>
      <w:r w:rsidRPr="002121CA">
        <w:rPr>
          <w:rFonts w:hint="eastAsia"/>
          <w:color w:val="EE0000"/>
        </w:rPr>
        <w:t>3</w:t>
      </w:r>
      <w:r w:rsidRPr="002121CA">
        <w:rPr>
          <w:rFonts w:hint="eastAsia"/>
          <w:color w:val="EE0000"/>
        </w:rPr>
        <w:t>）。自营不仅包括传统的配置要求，特别是</w:t>
      </w:r>
      <w:r w:rsidR="002121CA" w:rsidRPr="002121CA">
        <w:rPr>
          <w:rFonts w:hint="eastAsia"/>
          <w:color w:val="EE0000"/>
        </w:rPr>
        <w:t>交易要求下的需要的各种功能，行情，分析，交易执行，策略开发，衍生品定价等</w:t>
      </w:r>
    </w:p>
    <w:p w14:paraId="7DBB64BE" w14:textId="5B8110AC" w:rsidR="002121CA" w:rsidRPr="002121CA" w:rsidRDefault="002121CA">
      <w:pPr>
        <w:ind w:firstLine="480"/>
        <w:rPr>
          <w:color w:val="EE0000"/>
        </w:rPr>
      </w:pPr>
      <w:r w:rsidRPr="002121CA">
        <w:rPr>
          <w:rFonts w:hint="eastAsia"/>
          <w:color w:val="EE0000"/>
        </w:rPr>
        <w:t>4</w:t>
      </w:r>
      <w:r w:rsidRPr="002121CA">
        <w:rPr>
          <w:rFonts w:hint="eastAsia"/>
          <w:color w:val="EE0000"/>
        </w:rPr>
        <w:t>）。自营的风险管理，绩效归因也是要求最高的</w:t>
      </w:r>
    </w:p>
    <w:p w14:paraId="48654B07" w14:textId="77DF5B4C" w:rsidR="002121CA" w:rsidRDefault="002121CA">
      <w:pPr>
        <w:ind w:firstLine="480"/>
        <w:rPr>
          <w:color w:val="EE0000"/>
        </w:rPr>
      </w:pPr>
      <w:r w:rsidRPr="002121CA">
        <w:rPr>
          <w:rFonts w:hint="eastAsia"/>
          <w:color w:val="EE0000"/>
        </w:rPr>
        <w:t>5</w:t>
      </w:r>
      <w:r w:rsidRPr="002121CA">
        <w:rPr>
          <w:rFonts w:hint="eastAsia"/>
          <w:color w:val="EE0000"/>
        </w:rPr>
        <w:t>）。</w:t>
      </w:r>
      <w:r w:rsidRPr="002121CA">
        <w:rPr>
          <w:rFonts w:hint="eastAsia"/>
          <w:color w:val="EE0000"/>
        </w:rPr>
        <w:t xml:space="preserve"> </w:t>
      </w:r>
      <w:r w:rsidRPr="002121CA">
        <w:rPr>
          <w:rFonts w:hint="eastAsia"/>
          <w:color w:val="EE0000"/>
        </w:rPr>
        <w:t>自营是对</w:t>
      </w:r>
      <w:r w:rsidRPr="002121CA">
        <w:rPr>
          <w:rFonts w:hint="eastAsia"/>
          <w:color w:val="EE0000"/>
        </w:rPr>
        <w:t>FICC</w:t>
      </w:r>
      <w:r w:rsidRPr="002121CA">
        <w:rPr>
          <w:rFonts w:hint="eastAsia"/>
          <w:color w:val="EE0000"/>
        </w:rPr>
        <w:t>系统最迫切，要求最高的，做好自营的系统建设，可以很好的覆盖银行和其他非银机构。</w:t>
      </w:r>
    </w:p>
    <w:p w14:paraId="3D1716AB" w14:textId="0E327985" w:rsidR="0001463C" w:rsidRPr="0001463C" w:rsidRDefault="0001463C">
      <w:pPr>
        <w:ind w:firstLine="480"/>
        <w:rPr>
          <w:rFonts w:hint="eastAsia"/>
          <w:color w:val="EE0000"/>
        </w:rPr>
      </w:pPr>
      <w:r>
        <w:rPr>
          <w:rFonts w:hint="eastAsia"/>
          <w:color w:val="EE0000"/>
        </w:rPr>
        <w:t>6</w:t>
      </w:r>
      <w:r>
        <w:rPr>
          <w:rFonts w:hint="eastAsia"/>
          <w:color w:val="EE0000"/>
        </w:rPr>
        <w:t>）。</w:t>
      </w:r>
      <w:r>
        <w:rPr>
          <w:rFonts w:hint="eastAsia"/>
          <w:color w:val="EE0000"/>
        </w:rPr>
        <w:t xml:space="preserve"> </w:t>
      </w:r>
      <w:r>
        <w:rPr>
          <w:rFonts w:hint="eastAsia"/>
          <w:color w:val="EE0000"/>
        </w:rPr>
        <w:t>开发一个系统，需要持续有业务需求来驱动和引领，确保系统的市场产品匹配度</w:t>
      </w:r>
    </w:p>
    <w:p w14:paraId="087511CC" w14:textId="77777777" w:rsidR="00CA5D29" w:rsidRDefault="00CA5D29">
      <w:pPr>
        <w:ind w:firstLine="480"/>
      </w:pPr>
    </w:p>
    <w:p w14:paraId="49FE527F" w14:textId="77777777" w:rsidR="00D213D6" w:rsidRDefault="00000000">
      <w:pPr>
        <w:ind w:firstLine="480"/>
      </w:pPr>
      <w:r>
        <w:rPr>
          <w:rFonts w:hint="eastAsia"/>
        </w:rPr>
        <w:t>【论据】</w:t>
      </w:r>
    </w:p>
    <w:p w14:paraId="3CAFB45E" w14:textId="77777777" w:rsidR="00D213D6" w:rsidRDefault="00000000">
      <w:pPr>
        <w:pStyle w:val="2"/>
      </w:pPr>
      <w:r>
        <w:rPr>
          <w:rFonts w:hint="eastAsia"/>
        </w:rPr>
        <w:t>（一）证券公司</w:t>
      </w:r>
      <w:r>
        <w:rPr>
          <w:rFonts w:hint="eastAsia"/>
        </w:rPr>
        <w:t>FICC</w:t>
      </w:r>
      <w:r>
        <w:rPr>
          <w:rFonts w:hint="eastAsia"/>
        </w:rPr>
        <w:t>业务形态复杂，以其为起点能获得较大系统覆盖</w:t>
      </w:r>
    </w:p>
    <w:p w14:paraId="3BA75902" w14:textId="77777777" w:rsidR="00D213D6" w:rsidRDefault="00000000">
      <w:pPr>
        <w:ind w:firstLine="480"/>
      </w:pPr>
      <w:r>
        <w:rPr>
          <w:rFonts w:hint="eastAsia"/>
        </w:rPr>
        <w:t>银行、基金、保险资管等机构同样从事固定收益类业务，但与这些以资产负债管理或委托投资为主的机构相比，证券公司的</w:t>
      </w:r>
      <w:r>
        <w:rPr>
          <w:rFonts w:hint="eastAsia"/>
        </w:rPr>
        <w:t xml:space="preserve"> FICC </w:t>
      </w:r>
      <w:r>
        <w:rPr>
          <w:rFonts w:hint="eastAsia"/>
        </w:rPr>
        <w:t>业务在客户覆盖、收益目标和风险管理等方面呈现出更高的复杂性。</w:t>
      </w:r>
    </w:p>
    <w:p w14:paraId="1E0E79EB" w14:textId="77777777" w:rsidR="00D213D6" w:rsidRDefault="00000000">
      <w:r>
        <w:rPr>
          <w:rFonts w:hint="eastAsia"/>
          <w:b/>
          <w:bCs/>
        </w:rPr>
        <w:t>在客户层面，</w:t>
      </w:r>
      <w:r>
        <w:rPr>
          <w:rFonts w:hint="eastAsia"/>
        </w:rPr>
        <w:t>证券公司</w:t>
      </w:r>
      <w:r>
        <w:rPr>
          <w:rFonts w:hint="eastAsia"/>
        </w:rPr>
        <w:t xml:space="preserve"> FICC </w:t>
      </w:r>
      <w:r>
        <w:rPr>
          <w:rFonts w:hint="eastAsia"/>
        </w:rPr>
        <w:t>不仅要服务于公募基金、保险公司、银行理财子公司等买方机构，还要面向企业、地方政府融资平台以及境外投资者，客户需求横跨融资、投资、避险和流动性管理多个维度，账户体系包括客户资金账户、证券账户、衍生品账户、做市商账户、风险对冲账户等多种类型。这种多层次、多元化的客户谱系，比单一以配置为主的银行和保险资管更为复杂。</w:t>
      </w:r>
    </w:p>
    <w:p w14:paraId="2C67FE32" w14:textId="77777777" w:rsidR="00D213D6" w:rsidRDefault="00000000">
      <w:r>
        <w:rPr>
          <w:rFonts w:hint="eastAsia"/>
          <w:b/>
          <w:bCs/>
        </w:rPr>
        <w:t>在收益目标上，</w:t>
      </w:r>
      <w:r>
        <w:rPr>
          <w:rFonts w:hint="eastAsia"/>
        </w:rPr>
        <w:t>证券公司</w:t>
      </w:r>
      <w:r>
        <w:rPr>
          <w:rFonts w:hint="eastAsia"/>
        </w:rPr>
        <w:t xml:space="preserve"> FICC </w:t>
      </w:r>
      <w:r>
        <w:rPr>
          <w:rFonts w:hint="eastAsia"/>
        </w:rPr>
        <w:t>并不满足于票息收入和利差收益，而是强调通过做市、基差交易、跨市场套利、期限结构调整等方式获取阿尔法收益。这种主动交易和策略创新的要求，使证券公司必须具备更强的市场敏感度和定价能力，复杂度显著高于以稳健收益为主的基金和保险资管。</w:t>
      </w:r>
    </w:p>
    <w:p w14:paraId="2C8F8521" w14:textId="77777777" w:rsidR="00D213D6" w:rsidRDefault="00000000">
      <w:r>
        <w:rPr>
          <w:rFonts w:hint="eastAsia"/>
          <w:b/>
          <w:bCs/>
        </w:rPr>
        <w:t>在风险与合规维度，</w:t>
      </w:r>
      <w:r>
        <w:rPr>
          <w:rFonts w:hint="eastAsia"/>
        </w:rPr>
        <w:t>证券公司</w:t>
      </w:r>
      <w:r>
        <w:rPr>
          <w:rFonts w:hint="eastAsia"/>
        </w:rPr>
        <w:t xml:space="preserve"> FICC </w:t>
      </w:r>
      <w:r>
        <w:rPr>
          <w:rFonts w:hint="eastAsia"/>
        </w:rPr>
        <w:t>需要同时管理利率、信用、汇率、流动性等多重风险，并遵循证监会、央行、交易所、银行间市场等多层次监管要求，承担穿透式报送、交易后透明度、适当性管理等义务。这种全链条、跨市场、跨</w:t>
      </w:r>
      <w:r>
        <w:rPr>
          <w:rFonts w:hint="eastAsia"/>
        </w:rPr>
        <w:lastRenderedPageBreak/>
        <w:t>监管体系的风险管理要求，使证券公司</w:t>
      </w:r>
      <w:r>
        <w:rPr>
          <w:rFonts w:hint="eastAsia"/>
        </w:rPr>
        <w:t xml:space="preserve"> FICC </w:t>
      </w:r>
      <w:r>
        <w:rPr>
          <w:rFonts w:hint="eastAsia"/>
        </w:rPr>
        <w:t>成为证券行业中最能体现综合实力、也最复杂的业务板块。</w:t>
      </w:r>
    </w:p>
    <w:p w14:paraId="18F308F9" w14:textId="77777777" w:rsidR="00D213D6" w:rsidRDefault="00000000">
      <w:pPr>
        <w:ind w:firstLine="480"/>
      </w:pPr>
      <w:r>
        <w:t>证券公司的</w:t>
      </w:r>
      <w:r>
        <w:t>FICC</w:t>
      </w:r>
      <w:r>
        <w:t>业务在金融业态中具有独特的复杂性，以其为起点进行系统建设，本质上是一次</w:t>
      </w:r>
      <w:r>
        <w:rPr>
          <w:rFonts w:hint="eastAsia"/>
        </w:rPr>
        <w:t>“高难度练兵”</w:t>
      </w:r>
      <w:r>
        <w:t>，能确保系统架构具备足够的包容性和扩展性</w:t>
      </w:r>
      <w:r>
        <w:rPr>
          <w:rFonts w:hint="eastAsia"/>
        </w:rPr>
        <w:t>，可以“向下兼容”其他资管机构相对简单的业务场景和需求。</w:t>
      </w:r>
    </w:p>
    <w:p w14:paraId="3EAC04F6" w14:textId="77777777" w:rsidR="00D213D6" w:rsidRDefault="00000000">
      <w:pPr>
        <w:pStyle w:val="2"/>
      </w:pPr>
      <w:r>
        <w:rPr>
          <w:rFonts w:hint="eastAsia"/>
        </w:rPr>
        <w:t>（二）证券公司</w:t>
      </w:r>
      <w:r>
        <w:rPr>
          <w:rFonts w:hint="eastAsia"/>
        </w:rPr>
        <w:t>FICC</w:t>
      </w:r>
      <w:r>
        <w:rPr>
          <w:rFonts w:hint="eastAsia"/>
        </w:rPr>
        <w:t>业务对业绩波动影响显著，对系统业务效果要求高</w:t>
      </w:r>
    </w:p>
    <w:p w14:paraId="6847164D" w14:textId="77777777" w:rsidR="00D213D6" w:rsidRDefault="00000000">
      <w:pPr>
        <w:ind w:firstLine="480"/>
      </w:pPr>
      <w:r>
        <w:rPr>
          <w:rFonts w:hint="eastAsia"/>
          <w:highlight w:val="yellow"/>
        </w:rPr>
        <w:t>（增加：</w:t>
      </w:r>
      <w:r>
        <w:rPr>
          <w:rFonts w:hint="eastAsia"/>
          <w:highlight w:val="yellow"/>
        </w:rPr>
        <w:t>FICC</w:t>
      </w:r>
      <w:r>
        <w:rPr>
          <w:rFonts w:hint="eastAsia"/>
          <w:highlight w:val="yellow"/>
        </w:rPr>
        <w:t>受市场风险影响大，证券公司对</w:t>
      </w:r>
      <w:r>
        <w:rPr>
          <w:rFonts w:hint="eastAsia"/>
          <w:highlight w:val="yellow"/>
        </w:rPr>
        <w:t>FICC</w:t>
      </w:r>
      <w:r>
        <w:rPr>
          <w:rFonts w:hint="eastAsia"/>
          <w:highlight w:val="yellow"/>
        </w:rPr>
        <w:t>业绩要求高，有阿尔法要求）</w:t>
      </w:r>
    </w:p>
    <w:p w14:paraId="0A2F6603" w14:textId="77777777" w:rsidR="00D213D6" w:rsidRDefault="00000000">
      <w:pPr>
        <w:ind w:firstLine="480"/>
      </w:pPr>
      <w:bookmarkStart w:id="0" w:name="OLE_LINK1"/>
      <w:r>
        <w:rPr>
          <w:rFonts w:hint="eastAsia"/>
        </w:rPr>
        <w:t>自营业务是证券公司重要收入来源，自营业务自</w:t>
      </w:r>
      <w:r>
        <w:rPr>
          <w:rFonts w:hint="eastAsia"/>
        </w:rPr>
        <w:t>2017</w:t>
      </w:r>
      <w:r>
        <w:rPr>
          <w:rFonts w:hint="eastAsia"/>
        </w:rPr>
        <w:t>年之后超越经纪业务成为证券公司第一大收入来源（除</w:t>
      </w:r>
      <w:r>
        <w:rPr>
          <w:rFonts w:hint="eastAsia"/>
        </w:rPr>
        <w:t>2022</w:t>
      </w:r>
      <w:r>
        <w:rPr>
          <w:rFonts w:hint="eastAsia"/>
        </w:rPr>
        <w:t>年），证券业协会口径下，</w:t>
      </w:r>
      <w:r>
        <w:rPr>
          <w:rFonts w:hint="eastAsia"/>
        </w:rPr>
        <w:t>2012</w:t>
      </w:r>
      <w:r>
        <w:rPr>
          <w:rFonts w:hint="eastAsia"/>
        </w:rPr>
        <w:t>年</w:t>
      </w:r>
      <w:r>
        <w:rPr>
          <w:rFonts w:hint="eastAsia"/>
        </w:rPr>
        <w:t>-2024</w:t>
      </w:r>
      <w:r>
        <w:rPr>
          <w:rFonts w:hint="eastAsia"/>
        </w:rPr>
        <w:t>年，自营投资收益在营收中占比平均约</w:t>
      </w:r>
      <w:r>
        <w:rPr>
          <w:rFonts w:hint="eastAsia"/>
        </w:rPr>
        <w:t>26%</w:t>
      </w:r>
      <w:r>
        <w:rPr>
          <w:rFonts w:hint="eastAsia"/>
        </w:rPr>
        <w:t>，其中</w:t>
      </w:r>
      <w:r>
        <w:rPr>
          <w:rFonts w:hint="eastAsia"/>
        </w:rPr>
        <w:t>2024</w:t>
      </w:r>
      <w:r>
        <w:rPr>
          <w:rFonts w:hint="eastAsia"/>
        </w:rPr>
        <w:t>年占比为</w:t>
      </w:r>
      <w:r>
        <w:rPr>
          <w:rFonts w:hint="eastAsia"/>
        </w:rPr>
        <w:t>38.58%</w:t>
      </w:r>
      <w:r>
        <w:rPr>
          <w:rFonts w:hint="eastAsia"/>
        </w:rPr>
        <w:t>，在自营业务成为支柱收入的情况下，证券公司对自营业务有超额收益要求。另一方面，自营业务业绩表现与金融市场高度相关，投资收益受市场风险影响较大。</w:t>
      </w:r>
      <w:r>
        <w:rPr>
          <w:rFonts w:hint="eastAsia"/>
        </w:rPr>
        <w:t>2012-2024</w:t>
      </w:r>
      <w:r>
        <w:rPr>
          <w:rFonts w:hint="eastAsia"/>
        </w:rPr>
        <w:t>年自营收入占比变动区间为</w:t>
      </w:r>
      <w:r>
        <w:rPr>
          <w:rFonts w:hint="eastAsia"/>
        </w:rPr>
        <w:t>15.4%-38.58%</w:t>
      </w:r>
      <w:r>
        <w:rPr>
          <w:rFonts w:hint="eastAsia"/>
        </w:rPr>
        <w:t>，自营业务对证券公司经营业绩的扰动较为明显。</w:t>
      </w:r>
    </w:p>
    <w:bookmarkEnd w:id="0"/>
    <w:p w14:paraId="576932FE" w14:textId="77777777" w:rsidR="00D213D6" w:rsidRDefault="00D213D6">
      <w:pPr>
        <w:ind w:firstLine="480"/>
      </w:pPr>
    </w:p>
    <w:p w14:paraId="79D6130F" w14:textId="77777777" w:rsidR="00D213D6" w:rsidRDefault="00D213D6">
      <w:pPr>
        <w:ind w:firstLine="480"/>
      </w:pPr>
    </w:p>
    <w:p w14:paraId="24A63005" w14:textId="77777777" w:rsidR="00D213D6" w:rsidRDefault="00D213D6">
      <w:pPr>
        <w:ind w:firstLine="480"/>
      </w:pPr>
    </w:p>
    <w:p w14:paraId="168CF62D" w14:textId="77777777" w:rsidR="00D213D6" w:rsidRDefault="00000000">
      <w:pPr>
        <w:ind w:firstLineChars="0" w:firstLine="0"/>
        <w:jc w:val="center"/>
        <w:rPr>
          <w:rFonts w:ascii="楷体" w:eastAsia="楷体" w:hAnsi="楷体"/>
        </w:rPr>
      </w:pPr>
      <w:r>
        <w:rPr>
          <w:rFonts w:ascii="楷体" w:eastAsia="楷体" w:hAnsi="楷体" w:hint="eastAsia"/>
        </w:rPr>
        <w:t>证券行业各主营业务占比</w:t>
      </w:r>
    </w:p>
    <w:p w14:paraId="38CCE554" w14:textId="77777777" w:rsidR="00D213D6" w:rsidRDefault="00000000">
      <w:pPr>
        <w:ind w:firstLineChars="0" w:firstLine="0"/>
      </w:pPr>
      <w:r>
        <w:rPr>
          <w:noProof/>
        </w:rPr>
        <w:drawing>
          <wp:inline distT="0" distB="0" distL="114300" distR="114300" wp14:anchorId="6D07A6D6" wp14:editId="59984C03">
            <wp:extent cx="5281295" cy="2496185"/>
            <wp:effectExtent l="4445" t="4445" r="10160" b="1397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7869E36" w14:textId="77777777" w:rsidR="00D213D6" w:rsidRDefault="00000000">
      <w:pPr>
        <w:ind w:firstLineChars="0" w:firstLine="0"/>
        <w:rPr>
          <w:rFonts w:ascii="楷体" w:eastAsia="楷体" w:hAnsi="楷体"/>
        </w:rPr>
      </w:pPr>
      <w:r>
        <w:rPr>
          <w:rFonts w:ascii="楷体" w:eastAsia="楷体" w:hAnsi="楷体" w:hint="eastAsia"/>
        </w:rPr>
        <w:t>（数据来源：中国证券业务协会）</w:t>
      </w:r>
    </w:p>
    <w:p w14:paraId="72703729" w14:textId="77777777" w:rsidR="00D213D6" w:rsidRDefault="00000000">
      <w:pPr>
        <w:ind w:firstLine="480"/>
      </w:pPr>
      <w:r>
        <w:rPr>
          <w:rFonts w:hint="eastAsia"/>
        </w:rPr>
        <w:lastRenderedPageBreak/>
        <w:t>证券公司自营</w:t>
      </w:r>
      <w:r>
        <w:rPr>
          <w:rFonts w:hint="eastAsia"/>
        </w:rPr>
        <w:t>FICC</w:t>
      </w:r>
      <w:r>
        <w:rPr>
          <w:rFonts w:hint="eastAsia"/>
        </w:rPr>
        <w:t>业务易受市场风险影响以及与公司业绩直接挂钩的特性，使得证券公司</w:t>
      </w:r>
      <w:r>
        <w:rPr>
          <w:rFonts w:hint="eastAsia"/>
        </w:rPr>
        <w:t>FICC</w:t>
      </w:r>
      <w:r>
        <w:rPr>
          <w:rFonts w:hint="eastAsia"/>
        </w:rPr>
        <w:t>业务成为检验系统成败最客观、最严苛的“试金石”。券商自营投资直接使用公司自有资金，盈亏立竿见影。因此，其对系统的处理性能、定价模型的准确性、风险控制的实时性有着极高的要求。系统任何微小的延迟或错误都可能导致巨大的财务损失。这种对“极致性能”的追求，是系统能否在激烈市场竞争中立足的关键。</w:t>
      </w:r>
    </w:p>
    <w:p w14:paraId="56010CEA" w14:textId="77777777" w:rsidR="00D213D6" w:rsidRDefault="00000000">
      <w:pPr>
        <w:ind w:firstLine="480"/>
      </w:pPr>
      <w:r>
        <w:t>一个能够经受住券商自营业务高频、高风险考验的系统，其稳定性、准确性和高效性已得到最严格的验证。当这套系统应用于公募基金、银行理财子等资管机构时，由于后者在风险偏好和交易频率上通常低于券商自营，系统的稳定性和性能将更具优势，从而更容易获得客户信任，形成强大的市场竞争力</w:t>
      </w:r>
      <w:r>
        <w:rPr>
          <w:rFonts w:hint="eastAsia"/>
        </w:rPr>
        <w:t>。</w:t>
      </w:r>
    </w:p>
    <w:p w14:paraId="015951F1" w14:textId="77777777" w:rsidR="00D213D6" w:rsidRDefault="00D213D6">
      <w:pPr>
        <w:ind w:firstLine="480"/>
      </w:pPr>
    </w:p>
    <w:p w14:paraId="5AA9315D" w14:textId="77777777" w:rsidR="00D213D6" w:rsidRDefault="00000000">
      <w:pPr>
        <w:pStyle w:val="2"/>
      </w:pPr>
      <w:r>
        <w:rPr>
          <w:rFonts w:hint="eastAsia"/>
        </w:rPr>
        <w:t>（三）自营</w:t>
      </w:r>
      <w:r>
        <w:rPr>
          <w:rFonts w:hint="eastAsia"/>
        </w:rPr>
        <w:t>FICC</w:t>
      </w:r>
      <w:r>
        <w:rPr>
          <w:rFonts w:hint="eastAsia"/>
        </w:rPr>
        <w:t>是资管机构发展方向</w:t>
      </w:r>
    </w:p>
    <w:p w14:paraId="27D79A13" w14:textId="77777777" w:rsidR="00D213D6" w:rsidRDefault="00000000">
      <w:pPr>
        <w:ind w:firstLine="480"/>
      </w:pPr>
      <w:r>
        <w:rPr>
          <w:rFonts w:hint="eastAsia"/>
        </w:rPr>
        <w:t>2023</w:t>
      </w:r>
      <w:r>
        <w:rPr>
          <w:rFonts w:hint="eastAsia"/>
        </w:rPr>
        <w:t>年</w:t>
      </w:r>
      <w:r>
        <w:rPr>
          <w:rFonts w:hint="eastAsia"/>
        </w:rPr>
        <w:t>7</w:t>
      </w:r>
      <w:r>
        <w:rPr>
          <w:rFonts w:hint="eastAsia"/>
        </w:rPr>
        <w:t>月，证监会发布《公募基金行业费率改革工作方案》，明确公募基金费率改革分“三步走”：降管理费、降交易佣金、降销售服务费，旨在稳步降低行业综合费率水平。此轮改革在</w:t>
      </w:r>
      <w:r>
        <w:t>“</w:t>
      </w:r>
      <w:r>
        <w:rPr>
          <w:rFonts w:hint="eastAsia"/>
        </w:rPr>
        <w:t>强监管、防风险、促高质量发展</w:t>
      </w:r>
      <w:r>
        <w:t>”</w:t>
      </w:r>
      <w:r>
        <w:rPr>
          <w:rFonts w:hint="eastAsia"/>
        </w:rPr>
        <w:t>的主线下展开，其核心是通过监管引导校正行业“重规模、轻回报”的偏差。</w:t>
      </w:r>
      <w:r>
        <w:rPr>
          <w:rFonts w:hint="eastAsia"/>
        </w:rPr>
        <w:t>2025</w:t>
      </w:r>
      <w:r>
        <w:rPr>
          <w:rFonts w:hint="eastAsia"/>
        </w:rPr>
        <w:t>年</w:t>
      </w:r>
      <w:r>
        <w:rPr>
          <w:rFonts w:hint="eastAsia"/>
        </w:rPr>
        <w:t>9</w:t>
      </w:r>
      <w:r>
        <w:rPr>
          <w:rFonts w:hint="eastAsia"/>
        </w:rPr>
        <w:t>月</w:t>
      </w:r>
      <w:r>
        <w:rPr>
          <w:rFonts w:hint="eastAsia"/>
        </w:rPr>
        <w:t>5</w:t>
      </w:r>
      <w:r>
        <w:rPr>
          <w:rFonts w:hint="eastAsia"/>
        </w:rPr>
        <w:t>日，证监会修订发布《公开募集证券投资基金销售费用管理规定（征求意见稿）》，是分阶段推进费率改革的“最后关键一步”，意味着公募基金行业费率改革进入收官阶段。</w:t>
      </w:r>
    </w:p>
    <w:p w14:paraId="153E8F51" w14:textId="77777777" w:rsidR="00D213D6" w:rsidRDefault="00D213D6">
      <w:pPr>
        <w:ind w:firstLine="480"/>
      </w:pPr>
    </w:p>
    <w:p w14:paraId="1C0CC3AF" w14:textId="77777777" w:rsidR="00D213D6" w:rsidRDefault="00000000">
      <w:pPr>
        <w:ind w:firstLine="480"/>
      </w:pPr>
      <w:r>
        <w:rPr>
          <w:rFonts w:hint="eastAsia"/>
        </w:rPr>
        <w:t>在监管持续推动行业“减费让利”、促进高质量发展的大背景下，公募基金等资管机构正积极从传统依赖管理费的增长模式向更注重资产配置和主动管理的业务模式转型。这一转型的核心之一在于提升自有资金的运用效率和投资能力。其次，高质量发展的监管要求促使资管机构大力提升在投资交易、风险定价和跨市场运营等方面的精细化程度，这增加了资管机构对实时风控、实时定价等系统的需求。</w:t>
      </w:r>
    </w:p>
    <w:p w14:paraId="30BBDF53" w14:textId="77777777" w:rsidR="00D213D6" w:rsidRDefault="00000000">
      <w:pPr>
        <w:ind w:firstLine="480"/>
      </w:pPr>
      <w:r>
        <w:rPr>
          <w:rFonts w:hint="eastAsia"/>
        </w:rPr>
        <w:t>证券公司</w:t>
      </w:r>
      <w:r>
        <w:rPr>
          <w:rFonts w:hint="eastAsia"/>
        </w:rPr>
        <w:t>FICC</w:t>
      </w:r>
      <w:r>
        <w:rPr>
          <w:rFonts w:hint="eastAsia"/>
        </w:rPr>
        <w:t>业务的一个显著特点是自营业务占据较高比重，以此为基础构建的平台，其功能设计会深度涵盖投资决策、交易执行、风险管理和策略研究等自营业务核心场景。先行在券商业务中打磨一套</w:t>
      </w:r>
      <w:r>
        <w:rPr>
          <w:rFonts w:hint="eastAsia"/>
        </w:rPr>
        <w:t>FICC</w:t>
      </w:r>
      <w:r>
        <w:rPr>
          <w:rFonts w:hint="eastAsia"/>
        </w:rPr>
        <w:t>高性能平台，无疑为未来向整个资管行业输出成熟的解决方案奠定了坚实的技术基础和业务实践基础。</w:t>
      </w:r>
    </w:p>
    <w:p w14:paraId="32734952" w14:textId="77777777" w:rsidR="00D213D6" w:rsidRDefault="00000000">
      <w:pPr>
        <w:pStyle w:val="1"/>
      </w:pPr>
      <w:r>
        <w:rPr>
          <w:rFonts w:hint="eastAsia"/>
        </w:rPr>
        <w:lastRenderedPageBreak/>
        <w:t>三、选择核心中台系统（如实时风控、实时定价估值等）作为</w:t>
      </w:r>
      <w:r>
        <w:rPr>
          <w:rFonts w:hint="eastAsia"/>
        </w:rPr>
        <w:t>FICC</w:t>
      </w:r>
      <w:r>
        <w:rPr>
          <w:rFonts w:hint="eastAsia"/>
        </w:rPr>
        <w:t>系统平台建设起点的原因</w:t>
      </w:r>
    </w:p>
    <w:p w14:paraId="0BD0A449" w14:textId="77777777" w:rsidR="00D213D6" w:rsidRDefault="00000000">
      <w:r>
        <w:rPr>
          <w:rFonts w:hint="eastAsia"/>
          <w:b/>
          <w:bCs/>
        </w:rPr>
        <w:t>【论点】</w:t>
      </w:r>
      <w:r>
        <w:rPr>
          <w:rFonts w:hint="eastAsia"/>
        </w:rPr>
        <w:t>这些是上层系统的共用位置，是业务核心点和行业痛点，从这里建设有利于解决行业痛点、提升先进性和统一性。行业痛点在于当前交易、风控、估值、会计等割裂，缺乏统一投资语言，实时性不足，从核心系统根部建设可解决这些问题。</w:t>
      </w:r>
    </w:p>
    <w:p w14:paraId="3EBAB4F6" w14:textId="77777777" w:rsidR="003A075C" w:rsidRDefault="003A075C">
      <w:pPr>
        <w:ind w:firstLine="480"/>
      </w:pPr>
    </w:p>
    <w:p w14:paraId="4079158C" w14:textId="162A66B8" w:rsidR="003A075C" w:rsidRPr="003A075C" w:rsidRDefault="003A075C">
      <w:pPr>
        <w:rPr>
          <w:b/>
          <w:bCs/>
          <w:color w:val="EE0000"/>
        </w:rPr>
      </w:pPr>
      <w:r w:rsidRPr="003A075C">
        <w:rPr>
          <w:rFonts w:hint="eastAsia"/>
          <w:b/>
          <w:bCs/>
          <w:color w:val="EE0000"/>
        </w:rPr>
        <w:t>论点：</w:t>
      </w:r>
    </w:p>
    <w:p w14:paraId="490CC27E" w14:textId="77777777" w:rsidR="00D958F8" w:rsidRDefault="003A075C">
      <w:pPr>
        <w:rPr>
          <w:b/>
          <w:bCs/>
          <w:color w:val="EE0000"/>
        </w:rPr>
      </w:pPr>
      <w:r w:rsidRPr="003A075C">
        <w:rPr>
          <w:rFonts w:hint="eastAsia"/>
          <w:b/>
          <w:bCs/>
          <w:color w:val="EE0000"/>
        </w:rPr>
        <w:t>1</w:t>
      </w:r>
      <w:r w:rsidRPr="003A075C">
        <w:rPr>
          <w:rFonts w:hint="eastAsia"/>
          <w:b/>
          <w:bCs/>
          <w:color w:val="EE0000"/>
        </w:rPr>
        <w:t>）。</w:t>
      </w:r>
      <w:r w:rsidRPr="003A075C">
        <w:rPr>
          <w:rFonts w:hint="eastAsia"/>
          <w:b/>
          <w:bCs/>
          <w:color w:val="EE0000"/>
        </w:rPr>
        <w:t xml:space="preserve"> </w:t>
      </w:r>
      <w:r w:rsidR="00D958F8">
        <w:rPr>
          <w:rFonts w:hint="eastAsia"/>
          <w:b/>
          <w:bCs/>
          <w:color w:val="EE0000"/>
        </w:rPr>
        <w:t>资管的核心是风控</w:t>
      </w:r>
    </w:p>
    <w:p w14:paraId="4101879C" w14:textId="18998984" w:rsidR="003A075C" w:rsidRPr="003A075C" w:rsidRDefault="00D958F8">
      <w:pPr>
        <w:rPr>
          <w:b/>
          <w:bCs/>
          <w:color w:val="EE0000"/>
        </w:rPr>
      </w:pPr>
      <w:r>
        <w:rPr>
          <w:rFonts w:hint="eastAsia"/>
          <w:b/>
          <w:bCs/>
          <w:color w:val="EE0000"/>
        </w:rPr>
        <w:t>2</w:t>
      </w:r>
      <w:r>
        <w:rPr>
          <w:rFonts w:hint="eastAsia"/>
          <w:b/>
          <w:bCs/>
          <w:color w:val="EE0000"/>
        </w:rPr>
        <w:t>）。</w:t>
      </w:r>
      <w:r w:rsidR="003A075C" w:rsidRPr="003A075C">
        <w:rPr>
          <w:rFonts w:hint="eastAsia"/>
          <w:b/>
          <w:bCs/>
          <w:color w:val="EE0000"/>
        </w:rPr>
        <w:t>FICC</w:t>
      </w:r>
      <w:r w:rsidR="003A075C" w:rsidRPr="003A075C">
        <w:rPr>
          <w:rFonts w:hint="eastAsia"/>
          <w:b/>
          <w:bCs/>
          <w:color w:val="EE0000"/>
        </w:rPr>
        <w:t>系统是非常复杂和庞大的系统，</w:t>
      </w:r>
      <w:r w:rsidR="003A075C" w:rsidRPr="003A075C">
        <w:rPr>
          <w:rFonts w:hint="eastAsia"/>
          <w:b/>
          <w:bCs/>
          <w:color w:val="EE0000"/>
        </w:rPr>
        <w:t>Aladdin</w:t>
      </w:r>
      <w:r w:rsidR="003A075C" w:rsidRPr="003A075C">
        <w:rPr>
          <w:rFonts w:hint="eastAsia"/>
          <w:b/>
          <w:bCs/>
          <w:color w:val="EE0000"/>
        </w:rPr>
        <w:t>从</w:t>
      </w:r>
      <w:r w:rsidR="003A075C" w:rsidRPr="003A075C">
        <w:rPr>
          <w:rFonts w:hint="eastAsia"/>
          <w:b/>
          <w:bCs/>
          <w:color w:val="EE0000"/>
        </w:rPr>
        <w:t>1988</w:t>
      </w:r>
      <w:r w:rsidR="003A075C" w:rsidRPr="003A075C">
        <w:rPr>
          <w:rFonts w:hint="eastAsia"/>
          <w:b/>
          <w:bCs/>
          <w:color w:val="EE0000"/>
        </w:rPr>
        <w:t>开始建，将近</w:t>
      </w:r>
      <w:r w:rsidR="003A075C" w:rsidRPr="003A075C">
        <w:rPr>
          <w:rFonts w:hint="eastAsia"/>
          <w:b/>
          <w:bCs/>
          <w:color w:val="EE0000"/>
        </w:rPr>
        <w:t>40</w:t>
      </w:r>
      <w:r w:rsidR="003A075C" w:rsidRPr="003A075C">
        <w:rPr>
          <w:rFonts w:hint="eastAsia"/>
          <w:b/>
          <w:bCs/>
          <w:color w:val="EE0000"/>
        </w:rPr>
        <w:t>年，一直在建设。</w:t>
      </w:r>
    </w:p>
    <w:p w14:paraId="0DAA9866" w14:textId="2DC8C080" w:rsidR="003A075C" w:rsidRPr="003A075C" w:rsidRDefault="00D958F8">
      <w:pPr>
        <w:rPr>
          <w:b/>
          <w:bCs/>
          <w:color w:val="EE0000"/>
        </w:rPr>
      </w:pPr>
      <w:r>
        <w:rPr>
          <w:rFonts w:hint="eastAsia"/>
          <w:b/>
          <w:bCs/>
          <w:color w:val="EE0000"/>
        </w:rPr>
        <w:t>3</w:t>
      </w:r>
      <w:r w:rsidR="003A075C" w:rsidRPr="003A075C">
        <w:rPr>
          <w:rFonts w:hint="eastAsia"/>
          <w:b/>
          <w:bCs/>
          <w:color w:val="EE0000"/>
        </w:rPr>
        <w:t>）。为了保障投入最大价值，需要分阶段建设</w:t>
      </w:r>
    </w:p>
    <w:p w14:paraId="6A2B661C" w14:textId="1C68C484" w:rsidR="003A075C" w:rsidRPr="003A075C" w:rsidRDefault="00D958F8">
      <w:pPr>
        <w:rPr>
          <w:b/>
          <w:bCs/>
          <w:color w:val="EE0000"/>
        </w:rPr>
      </w:pPr>
      <w:r>
        <w:rPr>
          <w:rFonts w:hint="eastAsia"/>
          <w:b/>
          <w:bCs/>
          <w:color w:val="EE0000"/>
        </w:rPr>
        <w:t>4</w:t>
      </w:r>
      <w:r w:rsidR="003A075C" w:rsidRPr="003A075C">
        <w:rPr>
          <w:rFonts w:hint="eastAsia"/>
          <w:b/>
          <w:bCs/>
          <w:color w:val="EE0000"/>
        </w:rPr>
        <w:t>）。</w:t>
      </w:r>
      <w:r w:rsidR="003A075C" w:rsidRPr="003A075C">
        <w:rPr>
          <w:rFonts w:hint="eastAsia"/>
          <w:b/>
          <w:bCs/>
          <w:color w:val="EE0000"/>
        </w:rPr>
        <w:t>FICC</w:t>
      </w:r>
      <w:r w:rsidR="003A075C" w:rsidRPr="003A075C">
        <w:rPr>
          <w:rFonts w:hint="eastAsia"/>
          <w:b/>
          <w:bCs/>
          <w:color w:val="EE0000"/>
        </w:rPr>
        <w:t>最核心的是中台的风控管理和绩效归因。如果这个不能建成，其他的比如前台的交易，后台的清算，结算等都非常难发挥作用。</w:t>
      </w:r>
    </w:p>
    <w:p w14:paraId="143C0605" w14:textId="2E8E9931" w:rsidR="003A075C" w:rsidRPr="003A075C" w:rsidRDefault="00D958F8">
      <w:pPr>
        <w:rPr>
          <w:b/>
          <w:bCs/>
          <w:color w:val="EE0000"/>
        </w:rPr>
      </w:pPr>
      <w:r>
        <w:rPr>
          <w:rFonts w:hint="eastAsia"/>
          <w:b/>
          <w:bCs/>
          <w:color w:val="EE0000"/>
        </w:rPr>
        <w:t>5</w:t>
      </w:r>
      <w:r w:rsidR="003A075C" w:rsidRPr="003A075C">
        <w:rPr>
          <w:rFonts w:hint="eastAsia"/>
          <w:b/>
          <w:bCs/>
          <w:color w:val="EE0000"/>
        </w:rPr>
        <w:t>）。根据现在市场调查，中台也是</w:t>
      </w:r>
      <w:r w:rsidR="003A075C" w:rsidRPr="003A075C">
        <w:rPr>
          <w:rFonts w:hint="eastAsia"/>
          <w:b/>
          <w:bCs/>
          <w:color w:val="EE0000"/>
        </w:rPr>
        <w:t>FICC</w:t>
      </w:r>
      <w:r w:rsidR="003A075C" w:rsidRPr="003A075C">
        <w:rPr>
          <w:rFonts w:hint="eastAsia"/>
          <w:b/>
          <w:bCs/>
          <w:color w:val="EE0000"/>
        </w:rPr>
        <w:t>最薄弱的，因为最难，技术要求最高。</w:t>
      </w:r>
    </w:p>
    <w:p w14:paraId="5E3B41A9" w14:textId="77777777" w:rsidR="00D213D6" w:rsidRDefault="00D213D6">
      <w:pPr>
        <w:ind w:firstLine="480"/>
      </w:pPr>
    </w:p>
    <w:p w14:paraId="2252D2A1" w14:textId="77777777" w:rsidR="00D213D6" w:rsidRDefault="00000000">
      <w:pPr>
        <w:ind w:firstLine="480"/>
      </w:pPr>
      <w:r>
        <w:rPr>
          <w:rFonts w:hint="eastAsia"/>
        </w:rPr>
        <w:t>【论据】</w:t>
      </w:r>
    </w:p>
    <w:p w14:paraId="5E6722FC" w14:textId="77777777" w:rsidR="00D213D6" w:rsidRDefault="00000000">
      <w:pPr>
        <w:pStyle w:val="2"/>
      </w:pPr>
      <w:r>
        <w:rPr>
          <w:rFonts w:hint="eastAsia"/>
        </w:rPr>
        <w:t>（一）实时风控、实时定价估值是</w:t>
      </w:r>
      <w:r>
        <w:rPr>
          <w:rFonts w:hint="eastAsia"/>
        </w:rPr>
        <w:t>FICC</w:t>
      </w:r>
      <w:r>
        <w:rPr>
          <w:rFonts w:hint="eastAsia"/>
        </w:rPr>
        <w:t>业务的核心</w:t>
      </w:r>
    </w:p>
    <w:p w14:paraId="35B5F5BD" w14:textId="77777777" w:rsidR="00D213D6" w:rsidRDefault="00000000">
      <w:r>
        <w:rPr>
          <w:rFonts w:hint="eastAsia"/>
          <w:b/>
          <w:bCs/>
        </w:rPr>
        <w:t>FICC</w:t>
      </w:r>
      <w:r>
        <w:rPr>
          <w:rFonts w:hint="eastAsia"/>
          <w:b/>
          <w:bCs/>
        </w:rPr>
        <w:t>业务的特征决定了实时性的必要性。</w:t>
      </w:r>
      <w:r>
        <w:rPr>
          <w:rFonts w:hint="eastAsia"/>
        </w:rPr>
        <w:t>FICC</w:t>
      </w:r>
      <w:r>
        <w:rPr>
          <w:rFonts w:hint="eastAsia"/>
        </w:rPr>
        <w:t>业务的显著特征是产品种类繁多、结构复杂、交易规模庞大，并且对宏观经济和市场波动高度敏感。利率、汇率、信用利差和大宗商品价格可能受到政策、突发事件等影响而在短时间内发生剧烈变化。在这样一个高波动、高杠杆的市场环境中，实时定价和实时风控是业务能够高效开展的基本条件。</w:t>
      </w:r>
    </w:p>
    <w:p w14:paraId="20A1257C" w14:textId="77777777" w:rsidR="00D213D6" w:rsidRDefault="00000000">
      <w:r>
        <w:rPr>
          <w:rFonts w:hint="eastAsia"/>
          <w:b/>
          <w:bCs/>
        </w:rPr>
        <w:t>实时定价估值是交易的起点。</w:t>
      </w:r>
      <w:r>
        <w:rPr>
          <w:rFonts w:hint="eastAsia"/>
        </w:rPr>
        <w:t>在</w:t>
      </w:r>
      <w:r>
        <w:rPr>
          <w:rFonts w:hint="eastAsia"/>
        </w:rPr>
        <w:t>FICC</w:t>
      </w:r>
      <w:r>
        <w:rPr>
          <w:rFonts w:hint="eastAsia"/>
        </w:rPr>
        <w:t>市场中，无论是债券、掉期还是期权，交易员都必须在极短时间内获得准确的公允价值，才能报出有竞争力的价格并完成撮合。估值不仅决定了交易能否达成，还直接影响到风险计算，因为风险指标都依赖于定价模型的输出。如果定价滞后，风险度量就会失真，套利和对冲策略</w:t>
      </w:r>
      <w:r>
        <w:rPr>
          <w:rFonts w:hint="eastAsia"/>
        </w:rPr>
        <w:lastRenderedPageBreak/>
        <w:t>也会失去意义。因此，实时定价既是市场流动性的保障，也是复杂衍生品设计和跨市场策略的前提。</w:t>
      </w:r>
    </w:p>
    <w:p w14:paraId="6127C702" w14:textId="77777777" w:rsidR="00D213D6" w:rsidRDefault="00000000">
      <w:r>
        <w:rPr>
          <w:rFonts w:hint="eastAsia"/>
          <w:b/>
          <w:bCs/>
        </w:rPr>
        <w:t>实时风控是资本与合规的安全带。</w:t>
      </w:r>
      <w:r>
        <w:rPr>
          <w:rFonts w:hint="eastAsia"/>
        </w:rPr>
        <w:t>与定价并行，实时风控是</w:t>
      </w:r>
      <w:r>
        <w:rPr>
          <w:rFonts w:hint="eastAsia"/>
        </w:rPr>
        <w:t xml:space="preserve"> FICC </w:t>
      </w:r>
      <w:r>
        <w:rPr>
          <w:rFonts w:hint="eastAsia"/>
        </w:rPr>
        <w:t>业务的另一根支柱。市场风险、信用风险和流动性风险都可能在瞬间放大，如果不能实时监控和聚合风险，机构就可能在短时间内遭受巨大损失。全球多次金融危机、“黑天鹅”等事件的经验表明，能够实时聚合风险的机构在动荡中能够展现出更强的韧性。</w:t>
      </w:r>
    </w:p>
    <w:p w14:paraId="4E0A8413" w14:textId="77777777" w:rsidR="00D213D6" w:rsidRDefault="00D213D6">
      <w:pPr>
        <w:ind w:firstLineChars="0" w:firstLine="0"/>
      </w:pPr>
    </w:p>
    <w:p w14:paraId="04799968" w14:textId="77777777" w:rsidR="00D213D6" w:rsidRDefault="00000000">
      <w:r>
        <w:rPr>
          <w:rFonts w:hint="eastAsia"/>
          <w:b/>
          <w:bCs/>
        </w:rPr>
        <w:t>工商银行</w:t>
      </w:r>
      <w:r>
        <w:rPr>
          <w:rFonts w:hint="eastAsia"/>
        </w:rPr>
        <w:t>早在</w:t>
      </w:r>
      <w:r>
        <w:rPr>
          <w:rFonts w:hint="eastAsia"/>
        </w:rPr>
        <w:t>2011</w:t>
      </w:r>
      <w:r>
        <w:rPr>
          <w:rFonts w:hint="eastAsia"/>
        </w:rPr>
        <w:t>年就成功投产国内首个自主研发市场风险管理系统，这套系统投产后，可以实现交易账户金融业务产品的市场风险统一计量与监控，具备每日开展风险价值计量、压力测试、返回检验、限额管理、资本计算和风险报告等市场风险计量与管理能力，达到了全行组合层面的市场风险管理目标，使得市场风险管理水平全面提升。</w:t>
      </w:r>
    </w:p>
    <w:p w14:paraId="47FEEFB7" w14:textId="77777777" w:rsidR="00D213D6" w:rsidRDefault="00000000">
      <w:r>
        <w:rPr>
          <w:rFonts w:hint="eastAsia"/>
          <w:b/>
          <w:bCs/>
        </w:rPr>
        <w:t>华泰证券</w:t>
      </w:r>
      <w:r>
        <w:rPr>
          <w:rFonts w:hint="eastAsia"/>
        </w:rPr>
        <w:t>基于大象平台开展</w:t>
      </w:r>
      <w:r>
        <w:rPr>
          <w:rFonts w:hint="eastAsia"/>
        </w:rPr>
        <w:t>FICC</w:t>
      </w:r>
      <w:r>
        <w:rPr>
          <w:rFonts w:hint="eastAsia"/>
        </w:rPr>
        <w:t>业务，其</w:t>
      </w:r>
      <w:r>
        <w:rPr>
          <w:rFonts w:hint="eastAsia"/>
        </w:rPr>
        <w:t>FICC</w:t>
      </w:r>
      <w:r>
        <w:rPr>
          <w:rFonts w:hint="eastAsia"/>
        </w:rPr>
        <w:t>交易平台中心联席负责人王辉表示，由于</w:t>
      </w:r>
      <w:r>
        <w:rPr>
          <w:rFonts w:hint="eastAsia"/>
        </w:rPr>
        <w:t>FICC</w:t>
      </w:r>
      <w:r>
        <w:rPr>
          <w:rFonts w:hint="eastAsia"/>
        </w:rPr>
        <w:t>业务的高复杂度，定价能力对数据、行情、资讯、交易、策略、因子研究、投资分析等综合能力提出了很高的要求。华泰证券</w:t>
      </w:r>
      <w:r>
        <w:rPr>
          <w:rFonts w:hint="eastAsia"/>
        </w:rPr>
        <w:t>FICC</w:t>
      </w:r>
      <w:r>
        <w:rPr>
          <w:rFonts w:hint="eastAsia"/>
        </w:rPr>
        <w:t>数字化建设思路，是以定价能力建设作为核心，进而驱动交易、风控、投资与服务的一体化。华泰大象平台经过</w:t>
      </w:r>
      <w:r>
        <w:rPr>
          <w:rFonts w:hint="eastAsia"/>
        </w:rPr>
        <w:t>4</w:t>
      </w:r>
      <w:r>
        <w:rPr>
          <w:rFonts w:hint="eastAsia"/>
        </w:rPr>
        <w:t>年左右的建设，逐步实现了风险管理全景化、投资交易实时化，及做市、对客、跨境的一体化。</w:t>
      </w:r>
    </w:p>
    <w:p w14:paraId="1A3F1D85" w14:textId="77777777" w:rsidR="00D213D6" w:rsidRDefault="00000000">
      <w:r>
        <w:rPr>
          <w:rFonts w:hint="eastAsia"/>
          <w:b/>
          <w:bCs/>
        </w:rPr>
        <w:t>中金公司</w:t>
      </w:r>
      <w:r>
        <w:rPr>
          <w:rFonts w:hint="eastAsia"/>
        </w:rPr>
        <w:t>也是较早开展</w:t>
      </w:r>
      <w:r>
        <w:rPr>
          <w:rFonts w:hint="eastAsia"/>
        </w:rPr>
        <w:t>FICC</w:t>
      </w:r>
      <w:r>
        <w:rPr>
          <w:rFonts w:hint="eastAsia"/>
        </w:rPr>
        <w:t>的头部券商之一，</w:t>
      </w:r>
      <w:r>
        <w:rPr>
          <w:rFonts w:hint="eastAsia"/>
        </w:rPr>
        <w:t>2022</w:t>
      </w:r>
      <w:r>
        <w:rPr>
          <w:rFonts w:hint="eastAsia"/>
        </w:rPr>
        <w:t>年，中金公司信息技术部和风险管理部启动了多资产风险定价平台（</w:t>
      </w:r>
      <w:r>
        <w:rPr>
          <w:rFonts w:hint="eastAsia"/>
        </w:rPr>
        <w:t>Multi-Asset Pricing Platform</w:t>
      </w:r>
      <w:r>
        <w:rPr>
          <w:rFonts w:hint="eastAsia"/>
        </w:rPr>
        <w:t>，</w:t>
      </w:r>
      <w:r>
        <w:rPr>
          <w:rFonts w:hint="eastAsia"/>
        </w:rPr>
        <w:t>MAP</w:t>
      </w:r>
      <w:r>
        <w:rPr>
          <w:rFonts w:hint="eastAsia"/>
        </w:rPr>
        <w:t>）项目建设，将风险和定价一体化，成为全行开展多项业务的技术底座。作为新一代的风险定价与计量平台，</w:t>
      </w:r>
      <w:r>
        <w:rPr>
          <w:rFonts w:hint="eastAsia"/>
        </w:rPr>
        <w:t>MAP</w:t>
      </w:r>
      <w:r>
        <w:rPr>
          <w:rFonts w:hint="eastAsia"/>
        </w:rPr>
        <w:t>在建设过程中有多个关键开发节点，包括优化估值过程与估值模型；改进情景定义与压力测试方法；实现分钟级全持仓准实时估值等目标。</w:t>
      </w:r>
    </w:p>
    <w:p w14:paraId="025C2939" w14:textId="77777777" w:rsidR="00D213D6" w:rsidRDefault="00000000">
      <w:r>
        <w:rPr>
          <w:rFonts w:hint="eastAsia"/>
          <w:b/>
          <w:bCs/>
        </w:rPr>
        <w:t>银河证券</w:t>
      </w:r>
      <w:r>
        <w:rPr>
          <w:rFonts w:hint="eastAsia"/>
        </w:rPr>
        <w:t>在打造</w:t>
      </w:r>
      <w:r>
        <w:rPr>
          <w:rFonts w:hint="eastAsia"/>
        </w:rPr>
        <w:t>FICC</w:t>
      </w:r>
      <w:r>
        <w:rPr>
          <w:rFonts w:hint="eastAsia"/>
        </w:rPr>
        <w:t>业务体系时，选择以平台化、一体化为核心战略。依托自研的交易底座和投资决策中台，银河证券将定价、交易、风控、清算、会计等环节打通，形成覆盖自营投资、做市业务和客户服务的完整产品体系。公司通过统一接口标准和数据规范，整合分散的柜台系统，提升数据治理和业务协同效率；同时采用多进程解耦、共享内存等技术手段，满足高频、低延迟的量化交易和实时风控需求。在业务层面，银河证券逐步扩展到债券、利率互换、信用衍生品、</w:t>
      </w:r>
      <w:r>
        <w:rPr>
          <w:rFonts w:hint="eastAsia"/>
        </w:rPr>
        <w:t>ABS</w:t>
      </w:r>
      <w:r>
        <w:rPr>
          <w:rFonts w:hint="eastAsia"/>
        </w:rPr>
        <w:t>、</w:t>
      </w:r>
      <w:r>
        <w:rPr>
          <w:rFonts w:hint="eastAsia"/>
        </w:rPr>
        <w:t xml:space="preserve">REITs </w:t>
      </w:r>
      <w:r>
        <w:rPr>
          <w:rFonts w:hint="eastAsia"/>
        </w:rPr>
        <w:t>等多品类，支持自动化报价和智能化策略执行，并建设因子库</w:t>
      </w:r>
      <w:r>
        <w:rPr>
          <w:rFonts w:hint="eastAsia"/>
        </w:rPr>
        <w:lastRenderedPageBreak/>
        <w:t>与回测体系，实现投研、交易、风控的全生命周期一体化管理。</w:t>
      </w:r>
    </w:p>
    <w:p w14:paraId="24A62223" w14:textId="77777777" w:rsidR="00D213D6" w:rsidRDefault="00000000">
      <w:r>
        <w:rPr>
          <w:rFonts w:hint="eastAsia"/>
          <w:b/>
          <w:bCs/>
        </w:rPr>
        <w:t>东方证券</w:t>
      </w:r>
      <w:r>
        <w:rPr>
          <w:rFonts w:hint="eastAsia"/>
        </w:rPr>
        <w:t>2018</w:t>
      </w:r>
      <w:r>
        <w:rPr>
          <w:rFonts w:hint="eastAsia"/>
        </w:rPr>
        <w:t>年启动“新一代衍生品交易、定价及风险管理平台”平台的自主研发工作，旨在打造一个面向新一代的专业化、高性能的集交易、定价、风险管理一体的衍生品综合管理平台。在技术创新方面，平台集成了模块化的期权定价引擎，支持多种定价模型和参数配置，能够根据不同品种和市场场景进行灵活定价。平台提供全面的风险管理功能，支持多类别风控参数设置，实时计算各类风控指标，对新订单进行严格审查，确保交易合规。平台提供高度定制化的交易与数据处理解决方案，支持策略从创建、部署、回测验证到优化的全生命周期管理。</w:t>
      </w:r>
    </w:p>
    <w:p w14:paraId="14785590" w14:textId="77777777" w:rsidR="00D213D6" w:rsidRDefault="00000000">
      <w:pPr>
        <w:pStyle w:val="2"/>
      </w:pPr>
      <w:r>
        <w:rPr>
          <w:rFonts w:hint="eastAsia"/>
        </w:rPr>
        <w:t>（二）</w:t>
      </w:r>
      <w:r>
        <w:rPr>
          <w:rFonts w:hint="eastAsia"/>
        </w:rPr>
        <w:t>FICC</w:t>
      </w:r>
      <w:r>
        <w:rPr>
          <w:rFonts w:hint="eastAsia"/>
        </w:rPr>
        <w:t>业务系统应用现状和行业痛点</w:t>
      </w:r>
    </w:p>
    <w:p w14:paraId="67772C4F" w14:textId="77777777" w:rsidR="00D213D6" w:rsidRDefault="00000000">
      <w:pPr>
        <w:ind w:firstLine="480"/>
      </w:pPr>
      <w:r>
        <w:t>FICC</w:t>
      </w:r>
      <w:r>
        <w:t>业务</w:t>
      </w:r>
      <w:r>
        <w:rPr>
          <w:rFonts w:hint="eastAsia"/>
        </w:rPr>
        <w:t>具有个性化强，系统建设难以标准化的特征</w:t>
      </w:r>
      <w:r>
        <w:t>。从业务角度来看，</w:t>
      </w:r>
      <w:r>
        <w:t>FICC</w:t>
      </w:r>
      <w:r>
        <w:t>涵盖债券、利率衍生品、外汇、大宗商品、信用衍生品等多个大类，每个大类内部又有不同期限、不同结构的产品，产品种类繁多、</w:t>
      </w:r>
      <w:r>
        <w:rPr>
          <w:b/>
          <w:bCs/>
        </w:rPr>
        <w:t>定价模型差异大</w:t>
      </w:r>
      <w:r>
        <w:t>、跨市场依赖性强。从交易角度来看，</w:t>
      </w:r>
      <w:r>
        <w:t xml:space="preserve">FICC </w:t>
      </w:r>
      <w:r>
        <w:t>市场以</w:t>
      </w:r>
      <w:r>
        <w:rPr>
          <w:rFonts w:hint="eastAsia"/>
        </w:rPr>
        <w:t>“</w:t>
      </w:r>
      <w:r>
        <w:t>做市商模式</w:t>
      </w:r>
      <w:r>
        <w:rPr>
          <w:rFonts w:hint="eastAsia"/>
        </w:rPr>
        <w:t>”</w:t>
      </w:r>
      <w:r>
        <w:t>主，交易对手往往是机构客户</w:t>
      </w:r>
      <w:r>
        <w:rPr>
          <w:rFonts w:hint="eastAsia"/>
        </w:rPr>
        <w:t>，</w:t>
      </w:r>
      <w:r>
        <w:t>交易规模大</w:t>
      </w:r>
      <w:r>
        <w:rPr>
          <w:rFonts w:hint="eastAsia"/>
        </w:rPr>
        <w:t>、</w:t>
      </w:r>
      <w:r>
        <w:t>杠杆高</w:t>
      </w:r>
      <w:r>
        <w:rPr>
          <w:rFonts w:hint="eastAsia"/>
        </w:rPr>
        <w:t>，</w:t>
      </w:r>
      <w:r>
        <w:t>做市商需要持续报出买卖双边价格，依赖实时定价引擎，具有</w:t>
      </w:r>
      <w:r>
        <w:rPr>
          <w:b/>
          <w:bCs/>
        </w:rPr>
        <w:t>交易非标化</w:t>
      </w:r>
      <w:r>
        <w:t>、跨市场联动强、实时性要求高等特点。从风险角度来看，影响</w:t>
      </w:r>
      <w:r>
        <w:t xml:space="preserve">FICC </w:t>
      </w:r>
      <w:r>
        <w:t>产品的因素有很多，例如利率上升会影响债券价格、利率互换价值，同时推高信用利差，汇率波动会影响跨境债券和大宗商品定价，</w:t>
      </w:r>
      <w:r>
        <w:rPr>
          <w:b/>
          <w:bCs/>
        </w:rPr>
        <w:t>风险聚合难度大</w:t>
      </w:r>
      <w:r>
        <w:t>。</w:t>
      </w:r>
    </w:p>
    <w:p w14:paraId="61EBB8F9" w14:textId="77777777" w:rsidR="00D213D6" w:rsidRDefault="00000000">
      <w:pPr>
        <w:ind w:firstLine="480"/>
      </w:pPr>
      <w:r>
        <w:t>因此，很多机构在业务扩张时，会分阶段采购或自研不同的系统，例如债券交易系统、外汇交易系统、衍生品定价系统、风险管理系统、会计核算系统</w:t>
      </w:r>
      <w:r>
        <w:rPr>
          <w:rFonts w:hint="eastAsia"/>
        </w:rPr>
        <w:t>等</w:t>
      </w:r>
      <w:r>
        <w:t>。这些</w:t>
      </w:r>
      <w:r>
        <w:rPr>
          <w:b/>
          <w:bCs/>
        </w:rPr>
        <w:t>系统往往由不同厂商提供，接口标准不统一，数据口径存在差异，导致系统孤立，形成</w:t>
      </w:r>
      <w:r>
        <w:rPr>
          <w:rFonts w:hint="eastAsia"/>
          <w:b/>
          <w:bCs/>
        </w:rPr>
        <w:t>的</w:t>
      </w:r>
      <w:r>
        <w:rPr>
          <w:b/>
          <w:bCs/>
        </w:rPr>
        <w:t>数据和</w:t>
      </w:r>
      <w:r>
        <w:rPr>
          <w:rFonts w:hint="eastAsia"/>
          <w:b/>
          <w:bCs/>
        </w:rPr>
        <w:t>流程</w:t>
      </w:r>
      <w:r>
        <w:rPr>
          <w:b/>
          <w:bCs/>
        </w:rPr>
        <w:t>割裂</w:t>
      </w:r>
      <w:r>
        <w:t>，给未来的业务打通和</w:t>
      </w:r>
      <w:r>
        <w:rPr>
          <w:rFonts w:hint="eastAsia"/>
        </w:rPr>
        <w:t>公司</w:t>
      </w:r>
      <w:r>
        <w:t>级平台建设带来巨大障碍。</w:t>
      </w:r>
    </w:p>
    <w:p w14:paraId="2B242657" w14:textId="77777777" w:rsidR="00D213D6" w:rsidRDefault="00000000">
      <w:pPr>
        <w:pStyle w:val="2"/>
      </w:pPr>
      <w:r>
        <w:rPr>
          <w:rFonts w:hint="eastAsia"/>
        </w:rPr>
        <w:t>（三）国际领先金融机构</w:t>
      </w:r>
      <w:r>
        <w:rPr>
          <w:rFonts w:hint="eastAsia"/>
        </w:rPr>
        <w:t>FICC</w:t>
      </w:r>
      <w:r>
        <w:rPr>
          <w:rFonts w:hint="eastAsia"/>
        </w:rPr>
        <w:t>业务系统建设经验</w:t>
      </w:r>
    </w:p>
    <w:p w14:paraId="24DF9114" w14:textId="77777777" w:rsidR="00D213D6" w:rsidRDefault="00000000">
      <w:pPr>
        <w:ind w:firstLine="480"/>
      </w:pPr>
      <w:r>
        <w:t>国际上许多领先的金融机构业务平台也是基于较成熟的定价工具、风险管理工具，通过扩展功能、增加服务的方式，逐步成长为具有一定行业影响力的平台。</w:t>
      </w:r>
    </w:p>
    <w:p w14:paraId="2FCD6BF5" w14:textId="77777777" w:rsidR="00D213D6" w:rsidRDefault="00000000">
      <w:pPr>
        <w:ind w:firstLine="480"/>
      </w:pPr>
      <w:r>
        <w:t>当前世界规模最大的资管平台</w:t>
      </w:r>
      <w:r>
        <w:t>——</w:t>
      </w:r>
      <w:r>
        <w:t>阿拉丁平台就起源于贝莱德早期更好进行风险管理的需求。贝莱德创始人劳伦斯</w:t>
      </w:r>
      <w:r>
        <w:t>·</w:t>
      </w:r>
      <w:r>
        <w:t>芬克（</w:t>
      </w:r>
      <w:r>
        <w:t>Laurence Fink</w:t>
      </w:r>
      <w:r>
        <w:t>）在</w:t>
      </w:r>
      <w:r>
        <w:t>20</w:t>
      </w:r>
      <w:r>
        <w:t>世纪</w:t>
      </w:r>
      <w:r>
        <w:t>90</w:t>
      </w:r>
      <w:r>
        <w:t>年代时负责第一波士顿银行抵押贷款支持证券业务，由于利率判断错误，该业务出现</w:t>
      </w:r>
      <w:r>
        <w:t xml:space="preserve"> 1.65</w:t>
      </w:r>
      <w:r>
        <w:t>亿美元的损失（按通胀调整），严重打击了芬克的职业生涯。此次事件</w:t>
      </w:r>
      <w:r>
        <w:lastRenderedPageBreak/>
        <w:t>使芬克意识到，</w:t>
      </w:r>
      <w:r>
        <w:rPr>
          <w:b/>
          <w:bCs/>
        </w:rPr>
        <w:t>金融行业缺乏系统化的风险管理工具来量化利率、违约概率、提前还款等复杂因素的影响</w:t>
      </w:r>
      <w:r>
        <w:t>。</w:t>
      </w:r>
    </w:p>
    <w:p w14:paraId="76B3589D" w14:textId="77777777" w:rsidR="00D213D6" w:rsidRDefault="00000000">
      <w:pPr>
        <w:ind w:firstLine="480"/>
      </w:pPr>
      <w:r>
        <w:t>1989</w:t>
      </w:r>
      <w:r>
        <w:t>年，</w:t>
      </w:r>
      <w:r>
        <w:t>Aladdin</w:t>
      </w:r>
      <w:r>
        <w:t>作为内部风险管理工具诞生，基于债券久期和凸性计算的风险分析模型对债券市场进行分析，并逐步纳入股票、外汇等资产类别，</w:t>
      </w:r>
      <w:r>
        <w:rPr>
          <w:b/>
          <w:bCs/>
        </w:rPr>
        <w:t>开发跨资产相关性分析工具；引入蒙特卡洛模拟技术，模拟市场波动对投资组合的影响。</w:t>
      </w:r>
      <w:r>
        <w:t>1994</w:t>
      </w:r>
      <w:r>
        <w:t>年美联储意外加息，固定收益市场剧烈动荡，阿拉丁的风险分析能力帮助贝莱德在混乱中保持稳健业绩，赢得市场关注，更巩固了贝莱德将风险管理作为核心能力的决心。</w:t>
      </w:r>
    </w:p>
    <w:p w14:paraId="595B6B3B" w14:textId="77777777" w:rsidR="00D213D6" w:rsidRDefault="00000000">
      <w:pPr>
        <w:ind w:firstLine="480"/>
      </w:pPr>
      <w:r>
        <w:t>1999</w:t>
      </w:r>
      <w:r>
        <w:t>年，贝莱德正式将阿拉丁对外销售，并成立</w:t>
      </w:r>
      <w:r>
        <w:t xml:space="preserve"> BlackRock Solutions</w:t>
      </w:r>
      <w:r>
        <w:t>（贝莱德科技事业部），标志着阿拉丁从内部工具转型为对外服务的资管科技平台，并逐步</w:t>
      </w:r>
      <w:r>
        <w:rPr>
          <w:b/>
          <w:bCs/>
        </w:rPr>
        <w:t>从风险管理延伸到投资组合管理、交易执行、合规与运营支持，成为一体化的投资管理中枢</w:t>
      </w:r>
      <w:r>
        <w:t>。</w:t>
      </w:r>
    </w:p>
    <w:p w14:paraId="232D9B5D" w14:textId="77777777" w:rsidR="00D213D6" w:rsidRDefault="00000000">
      <w:pPr>
        <w:ind w:firstLine="480"/>
      </w:pPr>
      <w:r>
        <w:t>2007</w:t>
      </w:r>
      <w:r>
        <w:t>年，</w:t>
      </w:r>
      <w:r>
        <w:t>Aladdin</w:t>
      </w:r>
      <w:r>
        <w:t>通过压力测试提前预警次贷相关资产风险，帮助贝莱德管理的资产在危机中损失率低于行业平均</w:t>
      </w:r>
      <w:r>
        <w:t>30%</w:t>
      </w:r>
      <w:r>
        <w:t>以上，吸引高盛、摩根士丹利等顶级投行成为客户。</w:t>
      </w:r>
    </w:p>
    <w:p w14:paraId="27AE0BF7" w14:textId="77777777" w:rsidR="00D213D6" w:rsidRDefault="00000000">
      <w:pPr>
        <w:ind w:firstLine="480"/>
      </w:pPr>
      <w:r>
        <w:t>2009</w:t>
      </w:r>
      <w:r>
        <w:t>年，平台为美联储和欧洲央行提供有毒资产分析工具，评估希腊国债违约对欧元区银行的连锁影响，此举强化了</w:t>
      </w:r>
      <w:r>
        <w:t>Aladdin</w:t>
      </w:r>
      <w:r>
        <w:t>的权威性，推动其成为行业基础设施。</w:t>
      </w:r>
    </w:p>
    <w:p w14:paraId="5B0DB9A7" w14:textId="77777777" w:rsidR="00D213D6" w:rsidRDefault="00000000">
      <w:r>
        <w:rPr>
          <w:b/>
          <w:bCs/>
        </w:rPr>
        <w:t>在国际投行领域，著名的</w:t>
      </w:r>
      <w:r>
        <w:rPr>
          <w:b/>
          <w:bCs/>
        </w:rPr>
        <w:t>SecDB</w:t>
      </w:r>
      <w:r>
        <w:rPr>
          <w:b/>
          <w:bCs/>
        </w:rPr>
        <w:t>风险定价工具也和阿拉丁平台有着高度相似的发展历程。</w:t>
      </w:r>
      <w:r>
        <w:t>1993</w:t>
      </w:r>
      <w:r>
        <w:t>年，为了满足高盛自营业务部门对定价、风险管理的需求，高盛内部一个有量化金融和金融工程背景的技术团队</w:t>
      </w:r>
      <w:r>
        <w:t>“strats”</w:t>
      </w:r>
      <w:r>
        <w:t>开发了能够集成整个公司交易风险的管理平台</w:t>
      </w:r>
      <w:r>
        <w:t>——</w:t>
      </w:r>
      <w:r>
        <w:t>证券数据库（</w:t>
      </w:r>
      <w:r>
        <w:t>Securities Database</w:t>
      </w:r>
      <w:r>
        <w:t>），即</w:t>
      </w:r>
      <w:r>
        <w:t>SecDB</w:t>
      </w:r>
      <w:r>
        <w:t>。二十多年来沉淀的风险数据以及多次迭代优化的风险模型成为</w:t>
      </w:r>
      <w:r>
        <w:t>SecDB</w:t>
      </w:r>
      <w:r>
        <w:t>的核心竞争力，使其成长为风险管理驱动的证券数据库与定价系统，并成功帮助高盛在</w:t>
      </w:r>
      <w:r>
        <w:t>2008</w:t>
      </w:r>
      <w:r>
        <w:t>年金融危机中识别和缓冲风险。</w:t>
      </w:r>
    </w:p>
    <w:p w14:paraId="38981AFA" w14:textId="77777777" w:rsidR="00D213D6" w:rsidRDefault="00000000">
      <w:pPr>
        <w:ind w:firstLine="480"/>
      </w:pPr>
      <w:r>
        <w:t>2014</w:t>
      </w:r>
      <w:r>
        <w:t>年，高盛基于</w:t>
      </w:r>
      <w:r>
        <w:t>SecDB</w:t>
      </w:r>
      <w:r>
        <w:t>系统构建机构服务平台</w:t>
      </w:r>
      <w:r>
        <w:t>Marquee</w:t>
      </w:r>
      <w:r>
        <w:t>，机构客户能够通过</w:t>
      </w:r>
      <w:r>
        <w:t>API</w:t>
      </w:r>
      <w:r>
        <w:t>访问曾经只有高盛内部交易员和风险管理者才能访问的定价数据、风险模型和专有数据集。除了实时和历史市场数据外，</w:t>
      </w:r>
      <w:r>
        <w:t>Marquee</w:t>
      </w:r>
      <w:r>
        <w:t>用户还可以浏览高盛全球投资研究部（</w:t>
      </w:r>
      <w:r>
        <w:t>GIR</w:t>
      </w:r>
      <w:r>
        <w:t>）的研究报告、证券部（</w:t>
      </w:r>
      <w:r>
        <w:t>SecDiv</w:t>
      </w:r>
      <w:r>
        <w:t>）交易员的详细交易策略，采用强大的分析和图表工具以及交易执行服务。根据高盛在德意志银行全球服务投资者会议中给出的数据，通过</w:t>
      </w:r>
      <w:r>
        <w:t>SecDB</w:t>
      </w:r>
      <w:r>
        <w:t>数据库，高盛交易员每天能够从</w:t>
      </w:r>
      <w:r>
        <w:t>280</w:t>
      </w:r>
      <w:r>
        <w:t>万个头寸与</w:t>
      </w:r>
      <w:r>
        <w:t>50</w:t>
      </w:r>
      <w:r>
        <w:t>万个市场情景中计算出</w:t>
      </w:r>
      <w:r>
        <w:t>230</w:t>
      </w:r>
      <w:r>
        <w:t>亿个价格。</w:t>
      </w:r>
    </w:p>
    <w:p w14:paraId="3E4FC475" w14:textId="77777777" w:rsidR="00D213D6" w:rsidRDefault="00000000">
      <w:pPr>
        <w:ind w:firstLine="480"/>
      </w:pPr>
      <w:r>
        <w:lastRenderedPageBreak/>
        <w:t>综上所述，在国际金融领域领先的两款平台发展路径虽各有侧重，但共同体现了一个核心逻辑：</w:t>
      </w:r>
      <w:r>
        <w:rPr>
          <w:b/>
          <w:bCs/>
        </w:rPr>
        <w:t>风险管理与定价是现代金融体系的基础能力，而当它们被系统化、平台化之后，就能超越单一工具，成长为行业级的基础设施。</w:t>
      </w:r>
    </w:p>
    <w:p w14:paraId="15309BF7" w14:textId="77777777" w:rsidR="00D213D6" w:rsidRDefault="00000000">
      <w:pPr>
        <w:pStyle w:val="1"/>
      </w:pPr>
      <w:r>
        <w:rPr>
          <w:rFonts w:hint="eastAsia"/>
        </w:rPr>
        <w:t>四、</w:t>
      </w:r>
      <w:r>
        <w:rPr>
          <w:rFonts w:hint="eastAsia"/>
        </w:rPr>
        <w:t>FICC</w:t>
      </w:r>
      <w:r>
        <w:rPr>
          <w:rFonts w:hint="eastAsia"/>
        </w:rPr>
        <w:t>平台建成后带来的发展益处</w:t>
      </w:r>
    </w:p>
    <w:p w14:paraId="04DC15F2" w14:textId="77777777" w:rsidR="00D213D6" w:rsidRDefault="00000000">
      <w:r>
        <w:rPr>
          <w:rFonts w:hint="eastAsia"/>
          <w:b/>
          <w:bCs/>
        </w:rPr>
        <w:t>一是国家战略维度。</w:t>
      </w:r>
      <w:r>
        <w:rPr>
          <w:rFonts w:hint="eastAsia"/>
        </w:rPr>
        <w:t>当今全球金融体系中，</w:t>
      </w:r>
      <w:r>
        <w:rPr>
          <w:rFonts w:hint="eastAsia"/>
        </w:rPr>
        <w:t>FICC</w:t>
      </w:r>
      <w:r>
        <w:rPr>
          <w:rFonts w:hint="eastAsia"/>
        </w:rPr>
        <w:t>市场的主流交易平台和清算体系长期由欧美机构主导。这种格局导致中国在国际固定收益、外汇和大宗商品的定价体系中缺乏主导权，人民币资产的国际影响力受到限制。与此同时，地缘政治摩擦和金融制裁工具化趋势不断加剧，依赖境外平台不仅存在被“卡脖子”的风险，还可能在关键时刻影响中国企业和金融机构的跨境交易连续性。上海作为立足中国的世界金融中心之一，有必要建立中国自主可控的国际</w:t>
      </w:r>
      <w:r>
        <w:rPr>
          <w:rFonts w:hint="eastAsia"/>
        </w:rPr>
        <w:t>FICC</w:t>
      </w:r>
      <w:r>
        <w:rPr>
          <w:rFonts w:hint="eastAsia"/>
        </w:rPr>
        <w:t>平台，不仅能够提升中国在全球金融市场中的话语权，还能为人民币国际化提供坚实的市场基础设施支撑，从而在战略层面保障国家金融安全与经济主权。</w:t>
      </w:r>
    </w:p>
    <w:p w14:paraId="1DA8BEF9" w14:textId="46CB8683" w:rsidR="003A075C" w:rsidRPr="000835BD" w:rsidRDefault="003A075C">
      <w:pPr>
        <w:ind w:firstLine="480"/>
        <w:rPr>
          <w:color w:val="EE0000"/>
        </w:rPr>
      </w:pPr>
      <w:r w:rsidRPr="000835BD">
        <w:rPr>
          <w:rFonts w:hint="eastAsia"/>
          <w:color w:val="EE0000"/>
        </w:rPr>
        <w:t>建议从</w:t>
      </w:r>
      <w:r w:rsidR="000835BD" w:rsidRPr="000835BD">
        <w:rPr>
          <w:rFonts w:hint="eastAsia"/>
          <w:color w:val="EE0000"/>
        </w:rPr>
        <w:t>四</w:t>
      </w:r>
      <w:r w:rsidRPr="000835BD">
        <w:rPr>
          <w:rFonts w:hint="eastAsia"/>
          <w:color w:val="EE0000"/>
        </w:rPr>
        <w:t>个维度展开：</w:t>
      </w:r>
      <w:r w:rsidRPr="000835BD">
        <w:rPr>
          <w:rFonts w:hint="eastAsia"/>
          <w:color w:val="EE0000"/>
        </w:rPr>
        <w:t xml:space="preserve">1. </w:t>
      </w:r>
      <w:r w:rsidRPr="000835BD">
        <w:rPr>
          <w:rFonts w:hint="eastAsia"/>
          <w:color w:val="EE0000"/>
        </w:rPr>
        <w:t>对投资者，保证长期，稳定，低风险的</w:t>
      </w:r>
      <w:r w:rsidR="000835BD" w:rsidRPr="000835BD">
        <w:rPr>
          <w:rFonts w:hint="eastAsia"/>
          <w:color w:val="EE0000"/>
        </w:rPr>
        <w:t>投资回报，提高财富水平，进而提升内需发展；</w:t>
      </w:r>
      <w:r w:rsidR="000835BD" w:rsidRPr="000835BD">
        <w:rPr>
          <w:rFonts w:hint="eastAsia"/>
          <w:color w:val="EE0000"/>
        </w:rPr>
        <w:t xml:space="preserve"> 2</w:t>
      </w:r>
      <w:r w:rsidR="000835BD" w:rsidRPr="000835BD">
        <w:rPr>
          <w:rFonts w:hint="eastAsia"/>
          <w:color w:val="EE0000"/>
        </w:rPr>
        <w:t>）。</w:t>
      </w:r>
      <w:r w:rsidR="000835BD" w:rsidRPr="000835BD">
        <w:rPr>
          <w:rFonts w:hint="eastAsia"/>
          <w:color w:val="EE0000"/>
        </w:rPr>
        <w:t xml:space="preserve"> </w:t>
      </w:r>
      <w:r w:rsidR="000835BD" w:rsidRPr="000835BD">
        <w:rPr>
          <w:rFonts w:hint="eastAsia"/>
          <w:color w:val="EE0000"/>
        </w:rPr>
        <w:t>对公司，保障稳定，长期融资来源，保障新技术，新产业的发展；</w:t>
      </w:r>
      <w:r w:rsidR="000835BD" w:rsidRPr="000835BD">
        <w:rPr>
          <w:rFonts w:hint="eastAsia"/>
          <w:color w:val="EE0000"/>
        </w:rPr>
        <w:t xml:space="preserve"> 3</w:t>
      </w:r>
      <w:r w:rsidR="000835BD" w:rsidRPr="000835BD">
        <w:rPr>
          <w:rFonts w:hint="eastAsia"/>
          <w:color w:val="EE0000"/>
        </w:rPr>
        <w:t>）。</w:t>
      </w:r>
      <w:r w:rsidR="000835BD" w:rsidRPr="000835BD">
        <w:rPr>
          <w:rFonts w:hint="eastAsia"/>
          <w:color w:val="EE0000"/>
        </w:rPr>
        <w:t xml:space="preserve"> </w:t>
      </w:r>
      <w:r w:rsidR="000835BD" w:rsidRPr="000835BD">
        <w:rPr>
          <w:rFonts w:hint="eastAsia"/>
          <w:color w:val="EE0000"/>
        </w:rPr>
        <w:t>对国家，引导资金投入到国家发展战略上，确保国民财富增长，让普通投资者享受国家发展的红利，确保优秀企业，国家战略发展高科技产业能得到巨量的，持续的资金支持，发挥国家</w:t>
      </w:r>
      <w:r w:rsidR="003C6B04">
        <w:rPr>
          <w:rFonts w:hint="eastAsia"/>
          <w:color w:val="EE0000"/>
        </w:rPr>
        <w:t>引导作用</w:t>
      </w:r>
      <w:r w:rsidR="000835BD" w:rsidRPr="000835BD">
        <w:rPr>
          <w:rFonts w:hint="eastAsia"/>
          <w:color w:val="EE0000"/>
        </w:rPr>
        <w:t>。</w:t>
      </w:r>
      <w:r w:rsidR="000835BD" w:rsidRPr="000835BD">
        <w:rPr>
          <w:rFonts w:hint="eastAsia"/>
          <w:color w:val="EE0000"/>
        </w:rPr>
        <w:t>4</w:t>
      </w:r>
      <w:r w:rsidR="000835BD" w:rsidRPr="000835BD">
        <w:rPr>
          <w:rFonts w:hint="eastAsia"/>
          <w:color w:val="EE0000"/>
        </w:rPr>
        <w:t>）。最后是通过最先进的资管平台，提升国家整体的风险管理，特别是金融危机应对能力，就像</w:t>
      </w:r>
      <w:r w:rsidR="000835BD" w:rsidRPr="000835BD">
        <w:rPr>
          <w:rFonts w:hint="eastAsia"/>
          <w:color w:val="EE0000"/>
        </w:rPr>
        <w:t>Aladdin</w:t>
      </w:r>
      <w:r w:rsidR="000835BD" w:rsidRPr="000835BD">
        <w:rPr>
          <w:rFonts w:hint="eastAsia"/>
          <w:color w:val="EE0000"/>
        </w:rPr>
        <w:t>系统在</w:t>
      </w:r>
      <w:r w:rsidR="000835BD" w:rsidRPr="000835BD">
        <w:rPr>
          <w:rFonts w:hint="eastAsia"/>
          <w:color w:val="EE0000"/>
        </w:rPr>
        <w:t>2008</w:t>
      </w:r>
      <w:r w:rsidR="000835BD" w:rsidRPr="000835BD">
        <w:rPr>
          <w:rFonts w:hint="eastAsia"/>
          <w:color w:val="EE0000"/>
        </w:rPr>
        <w:t>年美国金融危机时发挥的作用。他是唯一一个能处理国家级的这么大的数据量，做各个情景风险，并短时间能给出计算结果的，保证了美联储做出正确的判断。</w:t>
      </w:r>
      <w:r w:rsidR="003D3432">
        <w:rPr>
          <w:rFonts w:hint="eastAsia"/>
          <w:color w:val="EE0000"/>
        </w:rPr>
        <w:t>总结一下，一个强国，必须首先是金融强国，只有发达的金融市场才能确保居民财富增长，才能让创新公司能在这个市场融到资金，最后才能支持国家不断提升国际竞争力，就像现在的</w:t>
      </w:r>
      <w:r w:rsidR="003D3432">
        <w:rPr>
          <w:rFonts w:hint="eastAsia"/>
          <w:color w:val="EE0000"/>
        </w:rPr>
        <w:t>AI</w:t>
      </w:r>
      <w:r w:rsidR="003D3432">
        <w:rPr>
          <w:rFonts w:hint="eastAsia"/>
          <w:color w:val="EE0000"/>
        </w:rPr>
        <w:t>，电动车等最前沿科技的竞争，国家之间的核心竞争力</w:t>
      </w:r>
    </w:p>
    <w:p w14:paraId="0A4295C5" w14:textId="77777777" w:rsidR="00D213D6" w:rsidRDefault="00000000">
      <w:r>
        <w:rPr>
          <w:rFonts w:hint="eastAsia"/>
          <w:b/>
          <w:bCs/>
        </w:rPr>
        <w:t>二是市场机遇维度。</w:t>
      </w:r>
      <w:r>
        <w:rPr>
          <w:rFonts w:hint="eastAsia"/>
        </w:rPr>
        <w:t>中国已成为全球第二大单一国家资管市场，截至</w:t>
      </w:r>
      <w:r>
        <w:rPr>
          <w:rFonts w:hint="eastAsia"/>
        </w:rPr>
        <w:t>2025</w:t>
      </w:r>
      <w:r>
        <w:rPr>
          <w:rFonts w:hint="eastAsia"/>
        </w:rPr>
        <w:t>年</w:t>
      </w:r>
      <w:r>
        <w:rPr>
          <w:rFonts w:hint="eastAsia"/>
        </w:rPr>
        <w:t>6</w:t>
      </w:r>
      <w:r>
        <w:rPr>
          <w:rFonts w:hint="eastAsia"/>
        </w:rPr>
        <w:t>月底，总规模超过</w:t>
      </w:r>
      <w:r>
        <w:rPr>
          <w:rFonts w:hint="eastAsia"/>
        </w:rPr>
        <w:t>170</w:t>
      </w:r>
      <w:r>
        <w:rPr>
          <w:rFonts w:hint="eastAsia"/>
        </w:rPr>
        <w:t>万亿元人民币，同时外汇和大宗商品交易需求持续增长。随着“一带一路”倡议和区域经济合作的深入推进，境内外企业对人民币计价资产和跨境风险管理工具的需求日益迫切。然而，目前国际投资者仍主要通过境外平台参与中国市场，导致流动性分散、交易成本偏高。以风险管理、实时定价估值建设国际化的中国</w:t>
      </w:r>
      <w:r>
        <w:rPr>
          <w:rFonts w:hint="eastAsia"/>
        </w:rPr>
        <w:t>FICC</w:t>
      </w:r>
      <w:r>
        <w:rPr>
          <w:rFonts w:hint="eastAsia"/>
        </w:rPr>
        <w:t>平台，不仅可集中境内外流动性，提升市场效率，还能满足企业在利率、汇率和大宗商品价格波动中的避险需求，形成新的金融增长点。</w:t>
      </w:r>
    </w:p>
    <w:p w14:paraId="37786A87" w14:textId="77777777" w:rsidR="00D213D6" w:rsidRDefault="00000000">
      <w:r>
        <w:rPr>
          <w:rFonts w:hint="eastAsia"/>
          <w:b/>
          <w:bCs/>
        </w:rPr>
        <w:lastRenderedPageBreak/>
        <w:t>三是技术能力维度。</w:t>
      </w:r>
      <w:r>
        <w:rPr>
          <w:rFonts w:hint="eastAsia"/>
        </w:rPr>
        <w:t>近年来，中国金融机构在金融科技领域积累了丰富经验，在建设</w:t>
      </w:r>
      <w:r>
        <w:rPr>
          <w:rFonts w:hint="eastAsia"/>
        </w:rPr>
        <w:t>FICC</w:t>
      </w:r>
      <w:r>
        <w:rPr>
          <w:rFonts w:hint="eastAsia"/>
        </w:rPr>
        <w:t>平台上也进行许多探索，已具备建设国际</w:t>
      </w:r>
      <w:r>
        <w:rPr>
          <w:rFonts w:hint="eastAsia"/>
        </w:rPr>
        <w:t>FICC</w:t>
      </w:r>
      <w:r>
        <w:rPr>
          <w:rFonts w:hint="eastAsia"/>
        </w:rPr>
        <w:t>平台的技术条件。同时，中国在大数据、人工智能、云计算等领域的应用走在全球前列，能够支撑低延迟、高并发、多资产的交易与清算体系。通过自主研发高性能数据库、定价引擎和风控系统，中国（上海国智）完全有能力打造一个具备国际竞争力的</w:t>
      </w:r>
      <w:r>
        <w:rPr>
          <w:rFonts w:hint="eastAsia"/>
        </w:rPr>
        <w:t>FICC</w:t>
      </w:r>
      <w:r>
        <w:rPr>
          <w:rFonts w:hint="eastAsia"/>
        </w:rPr>
        <w:t>平台。</w:t>
      </w:r>
    </w:p>
    <w:p w14:paraId="219B8D38" w14:textId="77777777" w:rsidR="00D213D6" w:rsidRDefault="00000000">
      <w:r>
        <w:rPr>
          <w:rFonts w:hint="eastAsia"/>
          <w:b/>
          <w:bCs/>
        </w:rPr>
        <w:t>四是风险防控维度。</w:t>
      </w:r>
      <w:r>
        <w:rPr>
          <w:rFonts w:hint="eastAsia"/>
        </w:rPr>
        <w:t>尽管国内金融机构和金融科技企业已经在</w:t>
      </w:r>
      <w:r>
        <w:rPr>
          <w:rFonts w:hint="eastAsia"/>
        </w:rPr>
        <w:t>FICC</w:t>
      </w:r>
      <w:r>
        <w:rPr>
          <w:rFonts w:hint="eastAsia"/>
        </w:rPr>
        <w:t>平台建设上有一些成果，但在部分衍生品交易和系统上仍依赖海外供应商，存在外部依赖风险。境外平台的监管逻辑与中国本土监管要求存在差异，导致数据安全与合规执行存在隐患。建立自主平台不仅能实现交易数据的本地留存和穿透式监管，还能在国际市场波动或制裁环境下保障业务连续性，增强金融体系的韧性。同时，自主平台可嵌入符合中国监管要求的风控模块，提升市场透明度和风险管理水平，为金融稳定提供制度性保障。</w:t>
      </w:r>
    </w:p>
    <w:p w14:paraId="67855E74" w14:textId="77777777" w:rsidR="00D213D6" w:rsidRDefault="00000000">
      <w:pPr>
        <w:ind w:firstLine="480"/>
      </w:pPr>
      <w:r>
        <w:rPr>
          <w:rFonts w:hint="eastAsia"/>
          <w:highlight w:val="yellow"/>
        </w:rPr>
        <w:t>FICC</w:t>
      </w:r>
      <w:r>
        <w:rPr>
          <w:rFonts w:hint="eastAsia"/>
          <w:highlight w:val="yellow"/>
        </w:rPr>
        <w:t>业务核心部件的国产替代，算得准、算得</w:t>
      </w:r>
      <w:r>
        <w:rPr>
          <w:highlight w:val="yellow"/>
        </w:rPr>
        <w:t>快，达到国际同等先进水平。</w:t>
      </w:r>
    </w:p>
    <w:sectPr w:rsidR="00D213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70868" w14:textId="77777777" w:rsidR="00627708" w:rsidRDefault="00627708">
      <w:pPr>
        <w:spacing w:before="120" w:after="120" w:line="240" w:lineRule="auto"/>
        <w:ind w:firstLine="480"/>
      </w:pPr>
      <w:r>
        <w:separator/>
      </w:r>
    </w:p>
  </w:endnote>
  <w:endnote w:type="continuationSeparator" w:id="0">
    <w:p w14:paraId="486D2480" w14:textId="77777777" w:rsidR="00627708" w:rsidRDefault="00627708">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1E9BC" w14:textId="77777777" w:rsidR="00627708" w:rsidRDefault="00627708">
      <w:pPr>
        <w:spacing w:before="120" w:after="120"/>
        <w:ind w:firstLine="480"/>
      </w:pPr>
      <w:r>
        <w:separator/>
      </w:r>
    </w:p>
  </w:footnote>
  <w:footnote w:type="continuationSeparator" w:id="0">
    <w:p w14:paraId="2073C5A2" w14:textId="77777777" w:rsidR="00627708" w:rsidRDefault="00627708">
      <w:pPr>
        <w:spacing w:before="120" w:after="120"/>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7463F"/>
    <w:multiLevelType w:val="multilevel"/>
    <w:tmpl w:val="4257463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6E643C0A"/>
    <w:multiLevelType w:val="hybridMultilevel"/>
    <w:tmpl w:val="84901550"/>
    <w:lvl w:ilvl="0" w:tplc="525E50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649941275">
    <w:abstractNumId w:val="0"/>
  </w:num>
  <w:num w:numId="2" w16cid:durableId="761990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EA3"/>
    <w:rsid w:val="0001463C"/>
    <w:rsid w:val="000835BD"/>
    <w:rsid w:val="002121CA"/>
    <w:rsid w:val="00292281"/>
    <w:rsid w:val="002A6B2B"/>
    <w:rsid w:val="00324271"/>
    <w:rsid w:val="003A075C"/>
    <w:rsid w:val="003C6B04"/>
    <w:rsid w:val="003D3432"/>
    <w:rsid w:val="004454FC"/>
    <w:rsid w:val="004679D4"/>
    <w:rsid w:val="00627708"/>
    <w:rsid w:val="00887BC6"/>
    <w:rsid w:val="00B44E0C"/>
    <w:rsid w:val="00C12EA3"/>
    <w:rsid w:val="00CA5D29"/>
    <w:rsid w:val="00D213D6"/>
    <w:rsid w:val="00D958F8"/>
    <w:rsid w:val="00DA04E3"/>
    <w:rsid w:val="00FC2AC2"/>
    <w:rsid w:val="00FD3FDC"/>
    <w:rsid w:val="30CC41BF"/>
    <w:rsid w:val="4098671A"/>
    <w:rsid w:val="489E5F6D"/>
    <w:rsid w:val="4A9737BD"/>
    <w:rsid w:val="4CF0121C"/>
    <w:rsid w:val="5C09685F"/>
    <w:rsid w:val="5E7132BC"/>
    <w:rsid w:val="6F0F6DE5"/>
    <w:rsid w:val="718D78B8"/>
    <w:rsid w:val="76FC3367"/>
    <w:rsid w:val="78893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855AE"/>
  <w15:docId w15:val="{8E97A5DC-3EA9-420C-92B3-94443BDE3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napToGrid w:val="0"/>
      <w:spacing w:beforeLines="50" w:before="156" w:afterLines="50" w:after="156" w:line="312" w:lineRule="auto"/>
      <w:ind w:firstLineChars="200" w:firstLine="482"/>
      <w:jc w:val="both"/>
    </w:pPr>
    <w:rPr>
      <w:rFonts w:eastAsia="仿宋"/>
      <w:kern w:val="2"/>
      <w:sz w:val="24"/>
      <w:szCs w:val="24"/>
    </w:rPr>
  </w:style>
  <w:style w:type="paragraph" w:styleId="1">
    <w:name w:val="heading 1"/>
    <w:basedOn w:val="a"/>
    <w:next w:val="a"/>
    <w:link w:val="10"/>
    <w:qFormat/>
    <w:pPr>
      <w:keepNext/>
      <w:keepLines/>
      <w:spacing w:line="360" w:lineRule="auto"/>
      <w:ind w:firstLine="562"/>
      <w:outlineLvl w:val="0"/>
    </w:pPr>
    <w:rPr>
      <w:rFonts w:eastAsia="黑体"/>
      <w:b/>
      <w:sz w:val="28"/>
    </w:rPr>
  </w:style>
  <w:style w:type="paragraph" w:styleId="2">
    <w:name w:val="heading 2"/>
    <w:basedOn w:val="a"/>
    <w:next w:val="a"/>
    <w:link w:val="20"/>
    <w:unhideWhenUsed/>
    <w:qFormat/>
    <w:pPr>
      <w:keepNext/>
      <w:keepLines/>
      <w:spacing w:line="413" w:lineRule="auto"/>
      <w:outlineLvl w:val="1"/>
    </w:pPr>
    <w:rPr>
      <w:rFonts w:eastAsia="宋体"/>
      <w:b/>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jc w:val="left"/>
    </w:pPr>
    <w:rPr>
      <w:sz w:val="18"/>
      <w:szCs w:val="18"/>
    </w:rPr>
  </w:style>
  <w:style w:type="paragraph" w:styleId="a5">
    <w:name w:val="header"/>
    <w:basedOn w:val="a"/>
    <w:link w:val="a6"/>
    <w:pPr>
      <w:tabs>
        <w:tab w:val="center" w:pos="4153"/>
        <w:tab w:val="right" w:pos="8306"/>
      </w:tabs>
      <w:jc w:val="center"/>
    </w:pPr>
    <w:rPr>
      <w:sz w:val="18"/>
      <w:szCs w:val="18"/>
    </w:rPr>
  </w:style>
  <w:style w:type="paragraph" w:styleId="a7">
    <w:name w:val="Normal (Web)"/>
    <w:basedOn w:val="a"/>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customStyle="1" w:styleId="a6">
    <w:name w:val="页眉 字符"/>
    <w:basedOn w:val="a0"/>
    <w:link w:val="a5"/>
    <w:rPr>
      <w:rFonts w:asciiTheme="minorHAnsi" w:eastAsiaTheme="minorEastAsia" w:hAnsiTheme="minorHAnsi" w:cstheme="minorBidi"/>
      <w:kern w:val="2"/>
      <w:sz w:val="18"/>
      <w:szCs w:val="18"/>
    </w:rPr>
  </w:style>
  <w:style w:type="character" w:customStyle="1" w:styleId="a4">
    <w:name w:val="页脚 字符"/>
    <w:basedOn w:val="a0"/>
    <w:link w:val="a3"/>
    <w:rPr>
      <w:rFonts w:asciiTheme="minorHAnsi" w:eastAsiaTheme="minorEastAsia" w:hAnsiTheme="minorHAnsi" w:cstheme="minorBidi"/>
      <w:kern w:val="2"/>
      <w:sz w:val="18"/>
      <w:szCs w:val="18"/>
    </w:rPr>
  </w:style>
  <w:style w:type="character" w:customStyle="1" w:styleId="10">
    <w:name w:val="标题 1 字符"/>
    <w:basedOn w:val="a0"/>
    <w:link w:val="1"/>
    <w:rPr>
      <w:rFonts w:eastAsia="黑体"/>
      <w:b/>
      <w:kern w:val="2"/>
      <w:sz w:val="28"/>
      <w:szCs w:val="24"/>
    </w:rPr>
  </w:style>
  <w:style w:type="character" w:customStyle="1" w:styleId="20">
    <w:name w:val="标题 2 字符"/>
    <w:basedOn w:val="a0"/>
    <w:link w:val="2"/>
    <w:rPr>
      <w:b/>
      <w:kern w:val="2"/>
      <w:sz w:val="24"/>
      <w:szCs w:val="24"/>
    </w:rPr>
  </w:style>
  <w:style w:type="paragraph" w:styleId="aa">
    <w:name w:val="List Paragraph"/>
    <w:basedOn w:val="a"/>
    <w:uiPriority w:val="99"/>
    <w:unhideWhenUsed/>
    <w:pPr>
      <w:ind w:firstLine="420"/>
    </w:pPr>
  </w:style>
  <w:style w:type="character" w:customStyle="1" w:styleId="30">
    <w:name w:val="标题 3 字符"/>
    <w:basedOn w:val="a0"/>
    <w:link w:val="3"/>
    <w:rPr>
      <w:rFonts w:eastAsia="仿宋"/>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24037;&#20316;&#25991;&#20214;&#22841;\&#37329;&#34701;&#31185;&#25216;&#20869;&#21442;\&#20844;&#21496;&#20869;&#37096;&#39033;&#30446;&#21450;&#30740;&#31350;&#36164;&#26009;\&#39033;&#30446;\&#24773;&#25253;&#27934;&#23519;&#39033;&#30446;\&#21048;&#21830;&#24773;&#25253;&#27934;&#23519;&#20998;&#26512;&#25253;&#21578;-&#25237;&#36164;&#20132;&#26131;&#37096;&#20998;-0619\&#25237;&#36164;&#20132;&#26131;&#19994;&#21153;&#20570;&#2227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lang="zh-CN" altLang="en-US"/>
              <a:t>截止</a:t>
            </a:r>
            <a:r>
              <a:rPr lang="en-US" altLang="zh-CN"/>
              <a:t>2025</a:t>
            </a:r>
            <a:r>
              <a:rPr lang="zh-CN" altLang="en-US"/>
              <a:t>年上半年末，资管机构产品类型分布</a:t>
            </a:r>
          </a:p>
        </c:rich>
      </c:tx>
      <c:layout>
        <c:manualLayout>
          <c:xMode val="edge"/>
          <c:yMode val="edge"/>
          <c:x val="0.125"/>
          <c:y val="1.6203703703703699E-2"/>
        </c:manualLayout>
      </c:layout>
      <c:overlay val="0"/>
      <c:spPr>
        <a:noFill/>
        <a:ln>
          <a:noFill/>
        </a:ln>
        <a:effectLst/>
      </c:spPr>
      <c:txPr>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percentStacked"/>
        <c:varyColors val="0"/>
        <c:ser>
          <c:idx val="0"/>
          <c:order val="0"/>
          <c:tx>
            <c:strRef>
              <c:f>[工作簿1]Sheet1!$A$2</c:f>
              <c:strCache>
                <c:ptCount val="1"/>
                <c:pt idx="0">
                  <c:v>固定收益类</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[工作簿1]Sheet1!$B$1:$D$1</c:f>
              <c:strCache>
                <c:ptCount val="3"/>
                <c:pt idx="0">
                  <c:v>银行理财产品</c:v>
                </c:pt>
                <c:pt idx="1">
                  <c:v>标品信托产品</c:v>
                </c:pt>
                <c:pt idx="2">
                  <c:v>私募资管产品</c:v>
                </c:pt>
              </c:strCache>
            </c:strRef>
          </c:cat>
          <c:val>
            <c:numRef>
              <c:f>[工作簿1]Sheet1!$B$2:$D$2</c:f>
              <c:numCache>
                <c:formatCode>0%</c:formatCode>
                <c:ptCount val="3"/>
                <c:pt idx="0" formatCode="0.00%">
                  <c:v>0.97199999999999998</c:v>
                </c:pt>
                <c:pt idx="1">
                  <c:v>0.77</c:v>
                </c:pt>
                <c:pt idx="2" formatCode="0.00%">
                  <c:v>0.73499999999999999</c:v>
                </c:pt>
              </c:numCache>
            </c:numRef>
          </c:val>
          <c:extLst>
            <c:ext xmlns:c16="http://schemas.microsoft.com/office/drawing/2014/chart" uri="{C3380CC4-5D6E-409C-BE32-E72D297353CC}">
              <c16:uniqueId val="{00000000-63D7-4D88-8175-5F4A6A5F473A}"/>
            </c:ext>
          </c:extLst>
        </c:ser>
        <c:ser>
          <c:idx val="1"/>
          <c:order val="1"/>
          <c:tx>
            <c:strRef>
              <c:f>[工作簿1]Sheet1!$A$3</c:f>
              <c:strCache>
                <c:ptCount val="1"/>
                <c:pt idx="0">
                  <c:v>期货和衍生品类</c:v>
                </c:pt>
              </c:strCache>
            </c:strRef>
          </c:tx>
          <c:spPr>
            <a:solidFill>
              <a:schemeClr val="accent2"/>
            </a:solidFill>
            <a:ln>
              <a:noFill/>
            </a:ln>
            <a:effectLst/>
          </c:spPr>
          <c:invertIfNegative val="0"/>
          <c:dLbls>
            <c:dLbl>
              <c:idx val="0"/>
              <c:layout>
                <c:manualLayout>
                  <c:x val="-6.9444444444444397E-3"/>
                  <c:y val="-5.0925925925925902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3D7-4D88-8175-5F4A6A5F473A}"/>
                </c:ext>
              </c:extLst>
            </c:dLbl>
            <c:dLbl>
              <c:idx val="1"/>
              <c:layout>
                <c:manualLayout>
                  <c:x val="8.4722222222222199E-2"/>
                  <c:y val="9.2592592592592605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3D7-4D88-8175-5F4A6A5F473A}"/>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[工作簿1]Sheet1!$B$1:$D$1</c:f>
              <c:strCache>
                <c:ptCount val="3"/>
                <c:pt idx="0">
                  <c:v>银行理财产品</c:v>
                </c:pt>
                <c:pt idx="1">
                  <c:v>标品信托产品</c:v>
                </c:pt>
                <c:pt idx="2">
                  <c:v>私募资管产品</c:v>
                </c:pt>
              </c:strCache>
            </c:strRef>
          </c:cat>
          <c:val>
            <c:numRef>
              <c:f>[工作簿1]Sheet1!$B$3:$D$3</c:f>
              <c:numCache>
                <c:formatCode>0%</c:formatCode>
                <c:ptCount val="3"/>
                <c:pt idx="0" formatCode="0.00%">
                  <c:v>6.9999999999999999E-4</c:v>
                </c:pt>
                <c:pt idx="1">
                  <c:v>0.01</c:v>
                </c:pt>
                <c:pt idx="2" formatCode="0.00%">
                  <c:v>1.1599999999999999E-2</c:v>
                </c:pt>
              </c:numCache>
            </c:numRef>
          </c:val>
          <c:extLst>
            <c:ext xmlns:c16="http://schemas.microsoft.com/office/drawing/2014/chart" uri="{C3380CC4-5D6E-409C-BE32-E72D297353CC}">
              <c16:uniqueId val="{00000003-63D7-4D88-8175-5F4A6A5F473A}"/>
            </c:ext>
          </c:extLst>
        </c:ser>
        <c:ser>
          <c:idx val="2"/>
          <c:order val="2"/>
          <c:tx>
            <c:strRef>
              <c:f>[工作簿1]Sheet1!$A$4</c:f>
              <c:strCache>
                <c:ptCount val="1"/>
                <c:pt idx="0">
                  <c:v>混合类</c:v>
                </c:pt>
              </c:strCache>
            </c:strRef>
          </c:tx>
          <c:spPr>
            <a:solidFill>
              <a:schemeClr val="accent3"/>
            </a:solidFill>
            <a:ln>
              <a:noFill/>
            </a:ln>
            <a:effectLst/>
          </c:spPr>
          <c:invertIfNegative val="0"/>
          <c:dLbls>
            <c:dLbl>
              <c:idx val="0"/>
              <c:layout>
                <c:manualLayout>
                  <c:x val="9.44444444444444E-2"/>
                  <c:y val="1.157407407407409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3D7-4D88-8175-5F4A6A5F473A}"/>
                </c:ext>
              </c:extLst>
            </c:dLbl>
            <c:dLbl>
              <c:idx val="1"/>
              <c:layout>
                <c:manualLayout>
                  <c:x val="-4.1666666666666701E-3"/>
                  <c:y val="-2.3148148148148099E-3"/>
                </c:manualLayout>
              </c:layout>
              <c:dLblPos val="ctr"/>
              <c:showLegendKey val="0"/>
              <c:showVal val="1"/>
              <c:showCatName val="0"/>
              <c:showSerName val="0"/>
              <c:showPercent val="0"/>
              <c:showBubbleSize val="0"/>
              <c:extLst>
                <c:ext xmlns:c15="http://schemas.microsoft.com/office/drawing/2012/chart" uri="{CE6537A1-D6FC-4f65-9D91-7224C49458BB}">
                  <c15:layout>
                    <c:manualLayout>
                      <c:w val="4.72222222222222E-2"/>
                      <c:h val="8.0092592592592604E-2"/>
                    </c:manualLayout>
                  </c15:layout>
                </c:ext>
                <c:ext xmlns:c16="http://schemas.microsoft.com/office/drawing/2014/chart" uri="{C3380CC4-5D6E-409C-BE32-E72D297353CC}">
                  <c16:uniqueId val="{00000005-63D7-4D88-8175-5F4A6A5F473A}"/>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[工作簿1]Sheet1!$B$1:$D$1</c:f>
              <c:strCache>
                <c:ptCount val="3"/>
                <c:pt idx="0">
                  <c:v>银行理财产品</c:v>
                </c:pt>
                <c:pt idx="1">
                  <c:v>标品信托产品</c:v>
                </c:pt>
                <c:pt idx="2">
                  <c:v>私募资管产品</c:v>
                </c:pt>
              </c:strCache>
            </c:strRef>
          </c:cat>
          <c:val>
            <c:numRef>
              <c:f>[工作簿1]Sheet1!$B$4:$D$4</c:f>
              <c:numCache>
                <c:formatCode>0%</c:formatCode>
                <c:ptCount val="3"/>
                <c:pt idx="0" formatCode="0.00%">
                  <c:v>2.5100000000000001E-2</c:v>
                </c:pt>
                <c:pt idx="1">
                  <c:v>0.06</c:v>
                </c:pt>
                <c:pt idx="2" formatCode="0.00%">
                  <c:v>0.1111</c:v>
                </c:pt>
              </c:numCache>
            </c:numRef>
          </c:val>
          <c:extLst>
            <c:ext xmlns:c16="http://schemas.microsoft.com/office/drawing/2014/chart" uri="{C3380CC4-5D6E-409C-BE32-E72D297353CC}">
              <c16:uniqueId val="{00000006-63D7-4D88-8175-5F4A6A5F473A}"/>
            </c:ext>
          </c:extLst>
        </c:ser>
        <c:ser>
          <c:idx val="3"/>
          <c:order val="3"/>
          <c:tx>
            <c:strRef>
              <c:f>[工作簿1]Sheet1!$A$5</c:f>
              <c:strCache>
                <c:ptCount val="1"/>
                <c:pt idx="0">
                  <c:v>权益类</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[工作簿1]Sheet1!$B$1:$D$1</c:f>
              <c:strCache>
                <c:ptCount val="3"/>
                <c:pt idx="0">
                  <c:v>银行理财产品</c:v>
                </c:pt>
                <c:pt idx="1">
                  <c:v>标品信托产品</c:v>
                </c:pt>
                <c:pt idx="2">
                  <c:v>私募资管产品</c:v>
                </c:pt>
              </c:strCache>
            </c:strRef>
          </c:cat>
          <c:val>
            <c:numRef>
              <c:f>[工作簿1]Sheet1!$B$5:$D$5</c:f>
              <c:numCache>
                <c:formatCode>0%</c:formatCode>
                <c:ptCount val="3"/>
                <c:pt idx="0" formatCode="0.00%">
                  <c:v>2.2000000000000001E-3</c:v>
                </c:pt>
                <c:pt idx="1">
                  <c:v>0.16</c:v>
                </c:pt>
                <c:pt idx="2" formatCode="0.00%">
                  <c:v>0.14230000000000001</c:v>
                </c:pt>
              </c:numCache>
            </c:numRef>
          </c:val>
          <c:extLst>
            <c:ext xmlns:c16="http://schemas.microsoft.com/office/drawing/2014/chart" uri="{C3380CC4-5D6E-409C-BE32-E72D297353CC}">
              <c16:uniqueId val="{00000007-63D7-4D88-8175-5F4A6A5F473A}"/>
            </c:ext>
          </c:extLst>
        </c:ser>
        <c:dLbls>
          <c:showLegendKey val="0"/>
          <c:showVal val="1"/>
          <c:showCatName val="0"/>
          <c:showSerName val="0"/>
          <c:showPercent val="0"/>
          <c:showBubbleSize val="0"/>
        </c:dLbls>
        <c:gapWidth val="150"/>
        <c:overlap val="100"/>
        <c:axId val="239390499"/>
        <c:axId val="122514314"/>
      </c:barChart>
      <c:catAx>
        <c:axId val="239390499"/>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22514314"/>
        <c:crosses val="autoZero"/>
        <c:auto val="1"/>
        <c:lblAlgn val="ctr"/>
        <c:lblOffset val="100"/>
        <c:noMultiLvlLbl val="0"/>
      </c:catAx>
      <c:valAx>
        <c:axId val="122514314"/>
        <c:scaling>
          <c:orientation val="minMax"/>
        </c:scaling>
        <c:delete val="0"/>
        <c:axPos val="l"/>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39390499"/>
        <c:crosses val="autoZero"/>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0fdbb953-09c4-417d-b7a2-00230dd1acfb}"/>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[投资交易业务做图.xlsx]业务结构!$A$2</c:f>
              <c:strCache>
                <c:ptCount val="1"/>
                <c:pt idx="0">
                  <c:v>经纪</c:v>
                </c:pt>
              </c:strCache>
            </c:strRef>
          </c:tx>
          <c:spPr>
            <a:solidFill>
              <a:schemeClr val="accent1"/>
            </a:solidFill>
            <a:ln>
              <a:noFill/>
            </a:ln>
            <a:effectLst/>
          </c:spPr>
          <c:invertIfNegative val="0"/>
          <c:cat>
            <c:numRef>
              <c:f>[投资交易业务做图.xlsx]业务结构!$B$1:$N$1</c:f>
              <c:numCache>
                <c:formatCode>General</c:formatCode>
                <c:ptCount val="13"/>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numCache>
            </c:numRef>
          </c:cat>
          <c:val>
            <c:numRef>
              <c:f>[投资交易业务做图.xlsx]业务结构!$B$2:$N$2</c:f>
              <c:numCache>
                <c:formatCode>0.00%</c:formatCode>
                <c:ptCount val="13"/>
                <c:pt idx="0">
                  <c:v>0.39800000000000002</c:v>
                </c:pt>
                <c:pt idx="1">
                  <c:v>0.49299999999999999</c:v>
                </c:pt>
                <c:pt idx="2">
                  <c:v>0.41199999999999998</c:v>
                </c:pt>
                <c:pt idx="3">
                  <c:v>0.47599999999999998</c:v>
                </c:pt>
                <c:pt idx="4">
                  <c:v>0.33600000000000002</c:v>
                </c:pt>
                <c:pt idx="5">
                  <c:v>0.27500000000000002</c:v>
                </c:pt>
                <c:pt idx="6">
                  <c:v>0.246</c:v>
                </c:pt>
                <c:pt idx="7">
                  <c:v>0.248</c:v>
                </c:pt>
                <c:pt idx="8">
                  <c:v>0.28899999999999998</c:v>
                </c:pt>
                <c:pt idx="9">
                  <c:v>0.308</c:v>
                </c:pt>
                <c:pt idx="10">
                  <c:v>0.32600000000000001</c:v>
                </c:pt>
                <c:pt idx="11">
                  <c:v>0.27800000000000002</c:v>
                </c:pt>
                <c:pt idx="12">
                  <c:v>0.26728786773913998</c:v>
                </c:pt>
              </c:numCache>
            </c:numRef>
          </c:val>
          <c:extLst>
            <c:ext xmlns:c16="http://schemas.microsoft.com/office/drawing/2014/chart" uri="{C3380CC4-5D6E-409C-BE32-E72D297353CC}">
              <c16:uniqueId val="{00000000-C36A-4C79-A57A-4F08F9FE200C}"/>
            </c:ext>
          </c:extLst>
        </c:ser>
        <c:ser>
          <c:idx val="1"/>
          <c:order val="1"/>
          <c:tx>
            <c:strRef>
              <c:f>[投资交易业务做图.xlsx]业务结构!$A$3</c:f>
              <c:strCache>
                <c:ptCount val="1"/>
                <c:pt idx="0">
                  <c:v>自营</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[投资交易业务做图.xlsx]业务结构!$B$1:$N$1</c:f>
              <c:numCache>
                <c:formatCode>General</c:formatCode>
                <c:ptCount val="13"/>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numCache>
            </c:numRef>
          </c:cat>
          <c:val>
            <c:numRef>
              <c:f>[投资交易业务做图.xlsx]业务结构!$B$3:$N$3</c:f>
              <c:numCache>
                <c:formatCode>0.00%</c:formatCode>
                <c:ptCount val="13"/>
                <c:pt idx="0">
                  <c:v>0.224</c:v>
                </c:pt>
                <c:pt idx="1">
                  <c:v>0.192</c:v>
                </c:pt>
                <c:pt idx="2">
                  <c:v>0.27300000000000002</c:v>
                </c:pt>
                <c:pt idx="3">
                  <c:v>0.246</c:v>
                </c:pt>
                <c:pt idx="4">
                  <c:v>0.17299999999999999</c:v>
                </c:pt>
                <c:pt idx="5">
                  <c:v>0.27700000000000002</c:v>
                </c:pt>
                <c:pt idx="6">
                  <c:v>0.30099999999999999</c:v>
                </c:pt>
                <c:pt idx="7">
                  <c:v>0.33900000000000002</c:v>
                </c:pt>
                <c:pt idx="8">
                  <c:v>0.28199999999999997</c:v>
                </c:pt>
                <c:pt idx="9">
                  <c:v>0.27500000000000002</c:v>
                </c:pt>
                <c:pt idx="10">
                  <c:v>0.154</c:v>
                </c:pt>
                <c:pt idx="11" formatCode="0%">
                  <c:v>0.3</c:v>
                </c:pt>
                <c:pt idx="12">
                  <c:v>0.38582659712879203</c:v>
                </c:pt>
              </c:numCache>
            </c:numRef>
          </c:val>
          <c:extLst>
            <c:ext xmlns:c16="http://schemas.microsoft.com/office/drawing/2014/chart" uri="{C3380CC4-5D6E-409C-BE32-E72D297353CC}">
              <c16:uniqueId val="{00000001-C36A-4C79-A57A-4F08F9FE200C}"/>
            </c:ext>
          </c:extLst>
        </c:ser>
        <c:ser>
          <c:idx val="2"/>
          <c:order val="2"/>
          <c:tx>
            <c:strRef>
              <c:f>[投资交易业务做图.xlsx]业务结构!$A$4</c:f>
              <c:strCache>
                <c:ptCount val="1"/>
                <c:pt idx="0">
                  <c:v>投行</c:v>
                </c:pt>
              </c:strCache>
            </c:strRef>
          </c:tx>
          <c:spPr>
            <a:solidFill>
              <a:schemeClr val="accent3"/>
            </a:solidFill>
            <a:ln>
              <a:noFill/>
            </a:ln>
            <a:effectLst/>
          </c:spPr>
          <c:invertIfNegative val="0"/>
          <c:cat>
            <c:numRef>
              <c:f>[投资交易业务做图.xlsx]业务结构!$B$1:$N$1</c:f>
              <c:numCache>
                <c:formatCode>General</c:formatCode>
                <c:ptCount val="13"/>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numCache>
            </c:numRef>
          </c:cat>
          <c:val>
            <c:numRef>
              <c:f>[投资交易业务做图.xlsx]业务结构!$B$4:$N$4</c:f>
              <c:numCache>
                <c:formatCode>0.00%</c:formatCode>
                <c:ptCount val="13"/>
                <c:pt idx="0">
                  <c:v>0.16400000000000001</c:v>
                </c:pt>
                <c:pt idx="1">
                  <c:v>0.109</c:v>
                </c:pt>
                <c:pt idx="2">
                  <c:v>0.11899999999999999</c:v>
                </c:pt>
                <c:pt idx="3">
                  <c:v>9.1999999999999998E-2</c:v>
                </c:pt>
                <c:pt idx="4">
                  <c:v>0.20899999999999999</c:v>
                </c:pt>
                <c:pt idx="5">
                  <c:v>0.16400000000000001</c:v>
                </c:pt>
                <c:pt idx="6">
                  <c:v>0.13900000000000001</c:v>
                </c:pt>
                <c:pt idx="7">
                  <c:v>0.13400000000000001</c:v>
                </c:pt>
                <c:pt idx="8" formatCode="0%">
                  <c:v>0.15</c:v>
                </c:pt>
                <c:pt idx="9">
                  <c:v>0.13900000000000001</c:v>
                </c:pt>
                <c:pt idx="10">
                  <c:v>0.16700000000000001</c:v>
                </c:pt>
                <c:pt idx="11">
                  <c:v>0.13400000000000001</c:v>
                </c:pt>
                <c:pt idx="12">
                  <c:v>7.7644962309023902E-2</c:v>
                </c:pt>
              </c:numCache>
            </c:numRef>
          </c:val>
          <c:extLst>
            <c:ext xmlns:c16="http://schemas.microsoft.com/office/drawing/2014/chart" uri="{C3380CC4-5D6E-409C-BE32-E72D297353CC}">
              <c16:uniqueId val="{00000002-C36A-4C79-A57A-4F08F9FE200C}"/>
            </c:ext>
          </c:extLst>
        </c:ser>
        <c:ser>
          <c:idx val="3"/>
          <c:order val="3"/>
          <c:tx>
            <c:strRef>
              <c:f>[投资交易业务做图.xlsx]业务结构!$A$5</c:f>
              <c:strCache>
                <c:ptCount val="1"/>
                <c:pt idx="0">
                  <c:v>资管</c:v>
                </c:pt>
              </c:strCache>
            </c:strRef>
          </c:tx>
          <c:spPr>
            <a:solidFill>
              <a:schemeClr val="accent4"/>
            </a:solidFill>
            <a:ln>
              <a:noFill/>
            </a:ln>
            <a:effectLst/>
          </c:spPr>
          <c:invertIfNegative val="0"/>
          <c:cat>
            <c:numRef>
              <c:f>[投资交易业务做图.xlsx]业务结构!$B$1:$N$1</c:f>
              <c:numCache>
                <c:formatCode>General</c:formatCode>
                <c:ptCount val="13"/>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numCache>
            </c:numRef>
          </c:cat>
          <c:val>
            <c:numRef>
              <c:f>[投资交易业务做图.xlsx]业务结构!$B$5:$N$5</c:f>
              <c:numCache>
                <c:formatCode>0.00%</c:formatCode>
                <c:ptCount val="13"/>
                <c:pt idx="0">
                  <c:v>2.1000000000000001E-2</c:v>
                </c:pt>
                <c:pt idx="1">
                  <c:v>4.3999999999999997E-2</c:v>
                </c:pt>
                <c:pt idx="2">
                  <c:v>4.8000000000000001E-2</c:v>
                </c:pt>
                <c:pt idx="3">
                  <c:v>4.8000000000000001E-2</c:v>
                </c:pt>
                <c:pt idx="4">
                  <c:v>0.09</c:v>
                </c:pt>
                <c:pt idx="5" formatCode="0%">
                  <c:v>0.1</c:v>
                </c:pt>
                <c:pt idx="6">
                  <c:v>0.10299999999999999</c:v>
                </c:pt>
                <c:pt idx="7">
                  <c:v>7.5999999999999998E-2</c:v>
                </c:pt>
                <c:pt idx="8">
                  <c:v>6.7000000000000004E-2</c:v>
                </c:pt>
                <c:pt idx="9">
                  <c:v>6.3E-2</c:v>
                </c:pt>
                <c:pt idx="10">
                  <c:v>6.9000000000000006E-2</c:v>
                </c:pt>
                <c:pt idx="11">
                  <c:v>5.5E-2</c:v>
                </c:pt>
                <c:pt idx="12">
                  <c:v>5.30776715598811E-2</c:v>
                </c:pt>
              </c:numCache>
            </c:numRef>
          </c:val>
          <c:extLst>
            <c:ext xmlns:c16="http://schemas.microsoft.com/office/drawing/2014/chart" uri="{C3380CC4-5D6E-409C-BE32-E72D297353CC}">
              <c16:uniqueId val="{00000003-C36A-4C79-A57A-4F08F9FE200C}"/>
            </c:ext>
          </c:extLst>
        </c:ser>
        <c:ser>
          <c:idx val="4"/>
          <c:order val="4"/>
          <c:tx>
            <c:strRef>
              <c:f>[投资交易业务做图.xlsx]业务结构!$A$6</c:f>
              <c:strCache>
                <c:ptCount val="1"/>
                <c:pt idx="0">
                  <c:v>利息</c:v>
                </c:pt>
              </c:strCache>
            </c:strRef>
          </c:tx>
          <c:spPr>
            <a:solidFill>
              <a:schemeClr val="accent5"/>
            </a:solidFill>
            <a:ln>
              <a:noFill/>
            </a:ln>
            <a:effectLst/>
          </c:spPr>
          <c:invertIfNegative val="0"/>
          <c:cat>
            <c:numRef>
              <c:f>[投资交易业务做图.xlsx]业务结构!$B$1:$N$1</c:f>
              <c:numCache>
                <c:formatCode>General</c:formatCode>
                <c:ptCount val="13"/>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numCache>
            </c:numRef>
          </c:cat>
          <c:val>
            <c:numRef>
              <c:f>[投资交易业务做图.xlsx]业务结构!$B$6:$N$6</c:f>
              <c:numCache>
                <c:formatCode>0.00%</c:formatCode>
                <c:ptCount val="13"/>
                <c:pt idx="0">
                  <c:v>4.1000000000000002E-2</c:v>
                </c:pt>
                <c:pt idx="1">
                  <c:v>0.11600000000000001</c:v>
                </c:pt>
                <c:pt idx="2">
                  <c:v>0.17100000000000001</c:v>
                </c:pt>
                <c:pt idx="3">
                  <c:v>0.10299999999999999</c:v>
                </c:pt>
                <c:pt idx="4">
                  <c:v>0.11600000000000001</c:v>
                </c:pt>
                <c:pt idx="5">
                  <c:v>0.112</c:v>
                </c:pt>
                <c:pt idx="6">
                  <c:v>8.1000000000000003E-2</c:v>
                </c:pt>
                <c:pt idx="7">
                  <c:v>0.129</c:v>
                </c:pt>
                <c:pt idx="8">
                  <c:v>0.13300000000000001</c:v>
                </c:pt>
                <c:pt idx="9">
                  <c:v>0.127</c:v>
                </c:pt>
                <c:pt idx="10" formatCode="0%">
                  <c:v>0.16</c:v>
                </c:pt>
                <c:pt idx="11">
                  <c:v>0.13100000000000001</c:v>
                </c:pt>
                <c:pt idx="12">
                  <c:v>0.111086976277182</c:v>
                </c:pt>
              </c:numCache>
            </c:numRef>
          </c:val>
          <c:extLst>
            <c:ext xmlns:c16="http://schemas.microsoft.com/office/drawing/2014/chart" uri="{C3380CC4-5D6E-409C-BE32-E72D297353CC}">
              <c16:uniqueId val="{00000004-C36A-4C79-A57A-4F08F9FE200C}"/>
            </c:ext>
          </c:extLst>
        </c:ser>
        <c:ser>
          <c:idx val="5"/>
          <c:order val="5"/>
          <c:tx>
            <c:strRef>
              <c:f>[投资交易业务做图.xlsx]业务结构!$A$7</c:f>
              <c:strCache>
                <c:ptCount val="1"/>
                <c:pt idx="0">
                  <c:v>其他</c:v>
                </c:pt>
              </c:strCache>
            </c:strRef>
          </c:tx>
          <c:spPr>
            <a:solidFill>
              <a:schemeClr val="accent6"/>
            </a:solidFill>
            <a:ln>
              <a:noFill/>
            </a:ln>
            <a:effectLst/>
          </c:spPr>
          <c:invertIfNegative val="0"/>
          <c:cat>
            <c:numRef>
              <c:f>[投资交易业务做图.xlsx]业务结构!$B$1:$N$1</c:f>
              <c:numCache>
                <c:formatCode>General</c:formatCode>
                <c:ptCount val="13"/>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numCache>
            </c:numRef>
          </c:cat>
          <c:val>
            <c:numRef>
              <c:f>[投资交易业务做图.xlsx]业务结构!$B$7:$N$7</c:f>
              <c:numCache>
                <c:formatCode>0.00%</c:formatCode>
                <c:ptCount val="13"/>
                <c:pt idx="0">
                  <c:v>0.152</c:v>
                </c:pt>
                <c:pt idx="1">
                  <c:v>4.5999999999999999E-2</c:v>
                </c:pt>
                <c:pt idx="2">
                  <c:v>-2.3E-2</c:v>
                </c:pt>
                <c:pt idx="3">
                  <c:v>3.5999999999999997E-2</c:v>
                </c:pt>
                <c:pt idx="4">
                  <c:v>7.4999999999999997E-2</c:v>
                </c:pt>
                <c:pt idx="5">
                  <c:v>7.3999999999999996E-2</c:v>
                </c:pt>
                <c:pt idx="6">
                  <c:v>0.13100000000000001</c:v>
                </c:pt>
                <c:pt idx="7">
                  <c:v>7.4999999999999997E-2</c:v>
                </c:pt>
                <c:pt idx="8">
                  <c:v>7.9000000000000001E-2</c:v>
                </c:pt>
                <c:pt idx="9">
                  <c:v>8.7999999999999995E-2</c:v>
                </c:pt>
                <c:pt idx="10">
                  <c:v>0.125</c:v>
                </c:pt>
                <c:pt idx="11">
                  <c:v>0.10199999999999999</c:v>
                </c:pt>
                <c:pt idx="12">
                  <c:v>0.10507592498598101</c:v>
                </c:pt>
              </c:numCache>
            </c:numRef>
          </c:val>
          <c:extLst>
            <c:ext xmlns:c16="http://schemas.microsoft.com/office/drawing/2014/chart" uri="{C3380CC4-5D6E-409C-BE32-E72D297353CC}">
              <c16:uniqueId val="{00000005-C36A-4C79-A57A-4F08F9FE200C}"/>
            </c:ext>
          </c:extLst>
        </c:ser>
        <c:dLbls>
          <c:showLegendKey val="0"/>
          <c:showVal val="0"/>
          <c:showCatName val="0"/>
          <c:showSerName val="0"/>
          <c:showPercent val="0"/>
          <c:showBubbleSize val="0"/>
        </c:dLbls>
        <c:gapWidth val="219"/>
        <c:overlap val="100"/>
        <c:axId val="617122284"/>
        <c:axId val="551916551"/>
      </c:barChart>
      <c:catAx>
        <c:axId val="617122284"/>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551916551"/>
        <c:crosses val="autoZero"/>
        <c:auto val="1"/>
        <c:lblAlgn val="ctr"/>
        <c:lblOffset val="100"/>
        <c:noMultiLvlLbl val="0"/>
      </c:catAx>
      <c:valAx>
        <c:axId val="551916551"/>
        <c:scaling>
          <c:orientation val="minMax"/>
        </c:scaling>
        <c:delete val="0"/>
        <c:axPos val="l"/>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17122284"/>
        <c:crosses val="autoZero"/>
        <c:crossBetween val="between"/>
      </c:valAx>
      <c:spPr>
        <a:noFill/>
        <a:ln>
          <a:noFill/>
        </a:ln>
        <a:effectLst/>
      </c:spPr>
    </c:plotArea>
    <c:legend>
      <c:legendPos val="t"/>
      <c:layout>
        <c:manualLayout>
          <c:xMode val="edge"/>
          <c:yMode val="edge"/>
          <c:x val="0.267430555555556"/>
          <c:y val="0.111386138613861"/>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800b7b53-324f-4ac1-b8db-10aee162a8db}"/>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1455</Words>
  <Characters>8297</Characters>
  <Application>Microsoft Office Word</Application>
  <DocSecurity>0</DocSecurity>
  <Lines>69</Lines>
  <Paragraphs>19</Paragraphs>
  <ScaleCrop>false</ScaleCrop>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lenovo</cp:lastModifiedBy>
  <cp:revision>6</cp:revision>
  <dcterms:created xsi:type="dcterms:W3CDTF">2025-09-29T08:50:00Z</dcterms:created>
  <dcterms:modified xsi:type="dcterms:W3CDTF">2025-09-29T10:48:00Z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034E5CE9B65148BCAB4D570F2D36546F</vt:lpwstr>
  </property>
  <property fmtid="{D5CDD505-2E9C-101B-9397-08002B2CF9AE}" pid="4" name="KSOTemplateDocerSaveRecord">
    <vt:lpwstr>eyJoZGlkIjoiOGJlNmI3Yzk5ODRlYWRmMzg2MDllOWExNDk5YmZmMTgiLCJ1c2VySWQiOiIxMTI2NjMxMSJ9</vt:lpwstr>
  </property>
</Properties>
</file>