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Investment Process</w:t>
      </w:r>
    </w:p>
    <w:p>
      <w:r>
        <w:t>Mazi follows a disciplined bottom-up research process.</w:t>
      </w:r>
    </w:p>
    <w:p>
      <w:r>
        <w:t>The team consists of 12 investment professionals.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AUM</w:t>
            </w:r>
          </w:p>
        </w:tc>
        <w:tc>
          <w:tcPr>
            <w:tcW w:type="dxa" w:w="4320"/>
          </w:tcPr>
          <w:p>
            <w:r>
              <w:t>R15bn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