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A11" w:rsidRDefault="00605A11" w:rsidP="00605A1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141414"/>
        </w:rPr>
      </w:pPr>
      <w:r>
        <w:rPr>
          <w:rFonts w:ascii="Helvetica" w:hAnsi="Helvetica" w:cs="Helvetica"/>
          <w:b w:val="0"/>
          <w:bCs w:val="0"/>
          <w:color w:val="141414"/>
        </w:rPr>
        <w:t>More big shipping firms stop Red Sea routes after attacks</w:t>
      </w:r>
    </w:p>
    <w:p w:rsidR="00605A11" w:rsidRDefault="00917E6D" w:rsidP="00605A11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hyperlink r:id="rId4" w:tgtFrame="_blank" w:history="1">
        <w:r>
          <w:rPr>
            <w:rFonts w:ascii="Arial" w:hAnsi="Arial" w:cs="Arial"/>
            <w:color w:val="979797"/>
            <w:sz w:val="17"/>
            <w:szCs w:val="17"/>
            <w:u w:val="single"/>
            <w:bdr w:val="single" w:sz="6" w:space="0" w:color="E4E4E4" w:frame="1"/>
          </w:rPr>
          <w:br/>
        </w:r>
      </w:hyperlink>
      <w:r w:rsidR="00605A11">
        <w:rPr>
          <w:rFonts w:ascii="inherit" w:hAnsi="inherit" w:cs="Helvetica"/>
          <w:b/>
          <w:bCs/>
          <w:color w:val="141414"/>
          <w:bdr w:val="none" w:sz="0" w:space="0" w:color="auto" w:frame="1"/>
        </w:rPr>
        <w:t>The world's largest shipping group, Mediterranean Shipping Company (MSC), has announced it is diverting its ships away from the Red Sea because of an increased threat of attacks.</w:t>
      </w:r>
    </w:p>
    <w:p w:rsidR="00605A11" w:rsidRDefault="00605A11" w:rsidP="00605A11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 xml:space="preserve">French company CMA CGM took a similar step a day after Danish shipping giant Maersk and German transport company </w:t>
      </w:r>
      <w:proofErr w:type="spellStart"/>
      <w:r>
        <w:rPr>
          <w:rFonts w:ascii="Helvetica" w:hAnsi="Helvetica" w:cs="Helvetica"/>
          <w:color w:val="141414"/>
        </w:rPr>
        <w:t>Hapag</w:t>
      </w:r>
      <w:proofErr w:type="spellEnd"/>
      <w:r>
        <w:rPr>
          <w:rFonts w:ascii="Helvetica" w:hAnsi="Helvetica" w:cs="Helvetica"/>
          <w:color w:val="141414"/>
        </w:rPr>
        <w:t>-Lloyd suspended Red Sea journeys.</w:t>
      </w:r>
    </w:p>
    <w:p w:rsidR="00605A11" w:rsidRDefault="00605A11" w:rsidP="00605A11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The decision comes after attacks by Iran-backed Houthi rebels in Yemen.</w:t>
      </w:r>
    </w:p>
    <w:p w:rsidR="00605A11" w:rsidRDefault="00605A11" w:rsidP="00605A11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They say they are targeting ships travelling to Israel.</w:t>
      </w:r>
    </w:p>
    <w:p w:rsidR="00605A11" w:rsidRDefault="00605A11" w:rsidP="00605A11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The Houthis have declared their support for Hamas after Israel launched a military campaign in Gaza following the 7 October Hamas attacks that killed 1,200 people and saw 240 more taken hostage.</w:t>
      </w:r>
    </w:p>
    <w:p w:rsidR="00605A11" w:rsidRDefault="00605A11" w:rsidP="00605A11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Since then, Israel has killed more than 18,000 Palestinians in Gaza, Hamas health officials say.</w:t>
      </w:r>
    </w:p>
    <w:p w:rsidR="00605A11" w:rsidRDefault="00605A11" w:rsidP="00605A11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The Red Sea is one the world's most important routes for oil and fuel shipments.</w:t>
      </w:r>
    </w:p>
    <w:p w:rsidR="00605A11" w:rsidRDefault="00605A11" w:rsidP="00605A11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proofErr w:type="gramStart"/>
      <w:r>
        <w:rPr>
          <w:rFonts w:ascii="Helvetica" w:hAnsi="Helvetica" w:cs="Helvetica"/>
          <w:color w:val="141414"/>
        </w:rPr>
        <w:t>But</w:t>
      </w:r>
      <w:proofErr w:type="gramEnd"/>
      <w:r>
        <w:rPr>
          <w:rFonts w:ascii="Helvetica" w:hAnsi="Helvetica" w:cs="Helvetica"/>
          <w:color w:val="141414"/>
        </w:rPr>
        <w:t xml:space="preserve"> the Houthis have been stepping up their attacks, using drones and rockets against foreign-owned vessels.</w:t>
      </w:r>
    </w:p>
    <w:p w:rsidR="00605A11" w:rsidRDefault="00605A11" w:rsidP="00605A11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 xml:space="preserve">They have also been firing drones and missiles towards Israel. The US said on Saturday its </w:t>
      </w:r>
      <w:proofErr w:type="gramStart"/>
      <w:r>
        <w:rPr>
          <w:rFonts w:ascii="Helvetica" w:hAnsi="Helvetica" w:cs="Helvetica"/>
          <w:color w:val="141414"/>
        </w:rPr>
        <w:t>guided-missile</w:t>
      </w:r>
      <w:proofErr w:type="gramEnd"/>
      <w:r>
        <w:rPr>
          <w:rFonts w:ascii="Helvetica" w:hAnsi="Helvetica" w:cs="Helvetica"/>
          <w:color w:val="141414"/>
        </w:rPr>
        <w:t xml:space="preserve"> destroyers had shot down 14 Houthi drones in the Red Sea.</w:t>
      </w:r>
    </w:p>
    <w:p w:rsidR="00605A11" w:rsidRDefault="00605A11" w:rsidP="00605A11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In its announcement, MSC said the situation in the area had become "serious".</w:t>
      </w:r>
    </w:p>
    <w:p w:rsidR="00605A11" w:rsidRDefault="00605A11" w:rsidP="00605A11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 xml:space="preserve">It said that its container ship MSC PALATIUM III </w:t>
      </w:r>
      <w:proofErr w:type="gramStart"/>
      <w:r>
        <w:rPr>
          <w:rFonts w:ascii="Helvetica" w:hAnsi="Helvetica" w:cs="Helvetica"/>
          <w:color w:val="141414"/>
        </w:rPr>
        <w:t>was attacked</w:t>
      </w:r>
      <w:proofErr w:type="gramEnd"/>
      <w:r>
        <w:rPr>
          <w:rFonts w:ascii="Helvetica" w:hAnsi="Helvetica" w:cs="Helvetica"/>
          <w:color w:val="141414"/>
        </w:rPr>
        <w:t xml:space="preserve"> on Friday as it was transiting the Red Sea. There were no injuries to the crew, but the ship </w:t>
      </w:r>
      <w:proofErr w:type="gramStart"/>
      <w:r>
        <w:rPr>
          <w:rFonts w:ascii="Helvetica" w:hAnsi="Helvetica" w:cs="Helvetica"/>
          <w:color w:val="141414"/>
        </w:rPr>
        <w:t>had been taken</w:t>
      </w:r>
      <w:proofErr w:type="gramEnd"/>
      <w:r>
        <w:rPr>
          <w:rFonts w:ascii="Helvetica" w:hAnsi="Helvetica" w:cs="Helvetica"/>
          <w:color w:val="141414"/>
        </w:rPr>
        <w:t xml:space="preserve"> out of service.</w:t>
      </w:r>
    </w:p>
    <w:p w:rsidR="00605A11" w:rsidRDefault="00605A11" w:rsidP="00605A11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 xml:space="preserve">Its ships </w:t>
      </w:r>
      <w:proofErr w:type="gramStart"/>
      <w:r>
        <w:rPr>
          <w:rFonts w:ascii="Helvetica" w:hAnsi="Helvetica" w:cs="Helvetica"/>
          <w:color w:val="141414"/>
        </w:rPr>
        <w:t>were being re-routed</w:t>
      </w:r>
      <w:proofErr w:type="gramEnd"/>
      <w:r>
        <w:rPr>
          <w:rFonts w:ascii="Helvetica" w:hAnsi="Helvetica" w:cs="Helvetica"/>
          <w:color w:val="141414"/>
        </w:rPr>
        <w:t xml:space="preserve"> via the Cape of Good Hope at the southern tip of Africa.</w:t>
      </w:r>
    </w:p>
    <w:p w:rsidR="00F10B19" w:rsidRPr="007F4B3D" w:rsidRDefault="00F10B19" w:rsidP="00605A11">
      <w:pPr>
        <w:pStyle w:val="NormalWeb"/>
        <w:shd w:val="clear" w:color="auto" w:fill="FFFFFF"/>
      </w:pPr>
      <w:bookmarkStart w:id="0" w:name="_GoBack"/>
      <w:bookmarkEnd w:id="0"/>
    </w:p>
    <w:sectPr w:rsidR="00F10B19" w:rsidRPr="007F4B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1A"/>
    <w:rsid w:val="00171FE4"/>
    <w:rsid w:val="00357D45"/>
    <w:rsid w:val="00444E8D"/>
    <w:rsid w:val="004707C6"/>
    <w:rsid w:val="00523F1E"/>
    <w:rsid w:val="00605A11"/>
    <w:rsid w:val="00623448"/>
    <w:rsid w:val="007F4B3D"/>
    <w:rsid w:val="00917E6D"/>
    <w:rsid w:val="00A95733"/>
    <w:rsid w:val="00B47E1A"/>
    <w:rsid w:val="00C922E6"/>
    <w:rsid w:val="00CD2121"/>
    <w:rsid w:val="00CF51E7"/>
    <w:rsid w:val="00CF7575"/>
    <w:rsid w:val="00DF096C"/>
    <w:rsid w:val="00F101B7"/>
    <w:rsid w:val="00F1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91D1"/>
  <w15:chartTrackingRefBased/>
  <w15:docId w15:val="{E010DB92-00C4-4A43-958F-CAB20279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F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5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22E6"/>
    <w:rPr>
      <w:color w:val="0000FF"/>
      <w:u w:val="single"/>
    </w:rPr>
  </w:style>
  <w:style w:type="paragraph" w:customStyle="1" w:styleId="ssrcss-1q0x1qg-paragraph">
    <w:name w:val="ssrcss-1q0x1qg-paragraph"/>
    <w:basedOn w:val="Normal"/>
    <w:rsid w:val="0060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?subject=Shared%20from%20BBC:GTA%206:%20Grand%20Theft%20Auto%20VI%20could%20smash%20revenue%20records&amp;body=https%3A%2F%2Fwww.bbc.com%2Fworklife%2Farticle%2F20231214-gta-6-grand-theft-auto-vi-could-smash-revenue-records%3Focid%3Dww.social.link.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9</cp:revision>
  <cp:lastPrinted>2023-12-17T21:35:00Z</cp:lastPrinted>
  <dcterms:created xsi:type="dcterms:W3CDTF">2023-12-16T21:39:00Z</dcterms:created>
  <dcterms:modified xsi:type="dcterms:W3CDTF">2023-12-17T21:38:00Z</dcterms:modified>
</cp:coreProperties>
</file>