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F0" w:rsidRDefault="00C73700">
      <w:pPr>
        <w:rPr>
          <w:b/>
        </w:rPr>
      </w:pPr>
      <w:r>
        <w:rPr>
          <w:b/>
        </w:rPr>
        <w:t>Задания к лабораторной работе:</w:t>
      </w:r>
    </w:p>
    <w:p w:rsidR="00C73700" w:rsidRDefault="00C73700">
      <w:pPr>
        <w:rPr>
          <w:b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2B5D3D8C" wp14:editId="116DE06A">
            <wp:extent cx="5638800" cy="38898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5697" cy="389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67F0" w:rsidRDefault="007967F0"/>
    <w:p w:rsidR="007967F0" w:rsidRDefault="00C73700">
      <w:r>
        <w:rPr>
          <w:noProof/>
          <w:lang w:val="ru-RU"/>
        </w:rPr>
        <w:drawing>
          <wp:inline distT="114300" distB="114300" distL="114300" distR="114300">
            <wp:extent cx="5734050" cy="19526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7F0" w:rsidRDefault="00C73700">
      <w:pPr>
        <w:rPr>
          <w:b/>
        </w:rPr>
      </w:pPr>
      <w:r>
        <w:rPr>
          <w:b/>
        </w:rPr>
        <w:t>Вопросы для самопроверки:</w:t>
      </w:r>
    </w:p>
    <w:p w:rsidR="007967F0" w:rsidRDefault="00C73700">
      <w:pPr>
        <w:numPr>
          <w:ilvl w:val="0"/>
          <w:numId w:val="1"/>
        </w:numPr>
      </w:pPr>
      <w:r>
        <w:rPr>
          <w:highlight w:val="white"/>
        </w:rPr>
        <w:t xml:space="preserve">IDEF3 подходит для описания логики взаимодействия информационных потоков, называется также </w:t>
      </w:r>
      <w:proofErr w:type="spellStart"/>
      <w:r>
        <w:rPr>
          <w:highlight w:val="white"/>
        </w:rPr>
        <w:t>workflow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diagramming</w:t>
      </w:r>
      <w:proofErr w:type="spellEnd"/>
      <w:r>
        <w:rPr>
          <w:highlight w:val="white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>
        <w:rPr>
          <w:highlight w:val="white"/>
        </w:rPr>
        <w:t>Workflow</w:t>
      </w:r>
      <w:proofErr w:type="spellEnd"/>
      <w:r>
        <w:rPr>
          <w:highlight w:val="white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организации.</w:t>
      </w:r>
    </w:p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Единицы</w:t>
      </w:r>
      <w:r w:rsidRPr="00C73700">
        <w:rPr>
          <w:rFonts w:ascii="Arial Unicode MS" w:eastAsia="Arial Unicode MS" w:hAnsi="Arial Unicode MS" w:cs="Arial Unicode MS"/>
          <w:highlight w:val="white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работы</w:t>
      </w:r>
      <w:r w:rsidRPr="00C73700">
        <w:rPr>
          <w:rFonts w:ascii="Arial Unicode MS" w:eastAsia="Arial Unicode MS" w:hAnsi="Arial Unicode MS" w:cs="Arial Unicode MS"/>
          <w:highlight w:val="white"/>
          <w:lang w:val="en-US"/>
        </w:rPr>
        <w:t xml:space="preserve"> − Unit of Work (UOW). </w:t>
      </w:r>
      <w:r>
        <w:rPr>
          <w:rFonts w:ascii="Arial Unicode MS" w:eastAsia="Arial Unicode MS" w:hAnsi="Arial Unicode MS" w:cs="Arial Unicode MS"/>
          <w:highlight w:val="white"/>
        </w:rPr>
        <w:t>UOW, также называемые работами (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activity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), являются центральными компонентами модели. В IDEF3 работы изображаются прямоугольниками с прямыми углами и имеют имя, выраженное </w:t>
      </w:r>
      <w:r>
        <w:rPr>
          <w:rFonts w:ascii="Arial Unicode MS" w:eastAsia="Arial Unicode MS" w:hAnsi="Arial Unicode MS" w:cs="Arial Unicode MS"/>
          <w:highlight w:val="white"/>
        </w:rPr>
        <w:lastRenderedPageBreak/>
        <w:t>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Обычно номер работы состоит из номера родительской работы и порядкового номера на текущей диаграмме.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Работа в IDEF3 требует более подробного описания, чем работа в IDEF0. Каждая UOW должна иметь ассоциированный документ, который включает текстовое описание компонентов работы: объектов (</w:t>
      </w:r>
      <w:proofErr w:type="spellStart"/>
      <w:r>
        <w:rPr>
          <w:highlight w:val="white"/>
        </w:rPr>
        <w:t>Objects</w:t>
      </w:r>
      <w:proofErr w:type="spellEnd"/>
      <w:r>
        <w:rPr>
          <w:highlight w:val="white"/>
        </w:rPr>
        <w:t>) и фактов (</w:t>
      </w:r>
      <w:proofErr w:type="spellStart"/>
      <w:r>
        <w:rPr>
          <w:highlight w:val="white"/>
        </w:rPr>
        <w:t>Facts</w:t>
      </w:r>
      <w:proofErr w:type="spellEnd"/>
      <w:r>
        <w:rPr>
          <w:highlight w:val="white"/>
        </w:rPr>
        <w:t>), связанных с работой, ограничений (</w:t>
      </w:r>
      <w:proofErr w:type="spellStart"/>
      <w:r>
        <w:rPr>
          <w:highlight w:val="white"/>
        </w:rPr>
        <w:t>Constraints</w:t>
      </w:r>
      <w:proofErr w:type="spellEnd"/>
      <w:r>
        <w:rPr>
          <w:highlight w:val="white"/>
        </w:rPr>
        <w:t>), накладываемых на работу, и дополнительное описание работы (</w:t>
      </w:r>
      <w:proofErr w:type="spellStart"/>
      <w:r>
        <w:rPr>
          <w:highlight w:val="white"/>
        </w:rPr>
        <w:t>Description</w:t>
      </w:r>
      <w:proofErr w:type="spellEnd"/>
      <w:r>
        <w:rPr>
          <w:highlight w:val="white"/>
        </w:rPr>
        <w:t xml:space="preserve">). Эта информация заносится во вкладку UOW диалога </w:t>
      </w:r>
      <w:proofErr w:type="spellStart"/>
      <w:r>
        <w:rPr>
          <w:highlight w:val="white"/>
        </w:rPr>
        <w:t>Activity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Properties</w:t>
      </w:r>
      <w:proofErr w:type="spellEnd"/>
      <w:r>
        <w:rPr>
          <w:highlight w:val="white"/>
        </w:rPr>
        <w:t>.</w:t>
      </w:r>
    </w:p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</w:t>
      </w:r>
      <w:r>
        <w:rPr>
          <w:i/>
          <w:highlight w:val="white"/>
        </w:rPr>
        <w:t>IDEF3</w:t>
      </w:r>
      <w:r>
        <w:rPr>
          <w:highlight w:val="white"/>
        </w:rPr>
        <w:t xml:space="preserve"> различают три типа стрелок, изображающих связи, стиль которых устанавливается во вкладке </w:t>
      </w:r>
      <w:proofErr w:type="spellStart"/>
      <w:r>
        <w:rPr>
          <w:i/>
          <w:highlight w:val="white"/>
        </w:rPr>
        <w:t>Style</w:t>
      </w:r>
      <w:proofErr w:type="spellEnd"/>
      <w:r>
        <w:rPr>
          <w:highlight w:val="white"/>
        </w:rPr>
        <w:t xml:space="preserve"> диалога </w:t>
      </w:r>
      <w:proofErr w:type="spellStart"/>
      <w:r>
        <w:rPr>
          <w:i/>
          <w:highlight w:val="white"/>
        </w:rPr>
        <w:t>Arrow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Properties</w:t>
      </w:r>
      <w:proofErr w:type="spellEnd"/>
      <w:r>
        <w:rPr>
          <w:highlight w:val="white"/>
        </w:rPr>
        <w:t xml:space="preserve"> (пункт контекстного меню </w:t>
      </w:r>
      <w:proofErr w:type="spellStart"/>
      <w:r>
        <w:rPr>
          <w:i/>
          <w:highlight w:val="white"/>
        </w:rPr>
        <w:t>Style</w:t>
      </w:r>
      <w:proofErr w:type="spellEnd"/>
      <w:r>
        <w:rPr>
          <w:highlight w:val="white"/>
        </w:rPr>
        <w:t>).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Старшая стрелка (</w:t>
      </w:r>
      <w:proofErr w:type="spellStart"/>
      <w:r>
        <w:rPr>
          <w:highlight w:val="white"/>
        </w:rPr>
        <w:t>Precedence</w:t>
      </w:r>
      <w:proofErr w:type="spellEnd"/>
      <w:r>
        <w:rPr>
          <w:highlight w:val="white"/>
        </w:rPr>
        <w:t>)– 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Стрелка отношения (</w:t>
      </w:r>
      <w:proofErr w:type="spellStart"/>
      <w:r>
        <w:rPr>
          <w:highlight w:val="white"/>
        </w:rPr>
        <w:t>Relational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Link</w:t>
      </w:r>
      <w:proofErr w:type="spellEnd"/>
      <w:r>
        <w:rPr>
          <w:highlight w:val="white"/>
        </w:rPr>
        <w:t>) – пунктирная линия, использующаяся для изображения связей между единицами работ (UOW), а также между единицами работ и объектами ссылок.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Потоки объектов (</w:t>
      </w:r>
      <w:proofErr w:type="spellStart"/>
      <w:r>
        <w:rPr>
          <w:highlight w:val="white"/>
        </w:rPr>
        <w:t>Object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Flow</w:t>
      </w:r>
      <w:proofErr w:type="spellEnd"/>
      <w:r>
        <w:rPr>
          <w:highlight w:val="white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>
        <w:rPr>
          <w:i/>
          <w:highlight w:val="white"/>
        </w:rPr>
        <w:t>Fan-in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Junction</w:t>
      </w:r>
      <w:proofErr w:type="spellEnd"/>
      <w:r>
        <w:rPr>
          <w:highlight w:val="white"/>
        </w:rPr>
        <w:t>) и разветвления (</w:t>
      </w:r>
      <w:proofErr w:type="spellStart"/>
      <w:r>
        <w:rPr>
          <w:i/>
          <w:highlight w:val="white"/>
        </w:rPr>
        <w:t>Fan-out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Junction</w:t>
      </w:r>
      <w:proofErr w:type="spellEnd"/>
      <w:r>
        <w:rPr>
          <w:highlight w:val="white"/>
        </w:rPr>
        <w:t>) стрелок.</w:t>
      </w:r>
    </w:p>
    <w:p w:rsidR="007967F0" w:rsidRDefault="007967F0">
      <w:pPr>
        <w:numPr>
          <w:ilvl w:val="0"/>
          <w:numId w:val="1"/>
        </w:numPr>
        <w:rPr>
          <w:highlight w:val="white"/>
        </w:rPr>
      </w:pPr>
    </w:p>
    <w:tbl>
      <w:tblPr>
        <w:tblStyle w:val="a5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7967F0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7967F0">
        <w:trPr>
          <w:trHeight w:val="110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Асинхронное "И" (</w:t>
            </w:r>
            <w:proofErr w:type="spellStart"/>
            <w:r>
              <w:rPr>
                <w:sz w:val="18"/>
                <w:szCs w:val="18"/>
                <w:highlight w:val="white"/>
              </w:rPr>
              <w:t>Asynchronous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предшествующие процессы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следующие процессы должны быть запущены</w:t>
            </w:r>
          </w:p>
        </w:tc>
      </w:tr>
    </w:tbl>
    <w:p w:rsidR="007967F0" w:rsidRDefault="007967F0">
      <w:pPr>
        <w:numPr>
          <w:ilvl w:val="0"/>
          <w:numId w:val="1"/>
        </w:numPr>
        <w:rPr>
          <w:highlight w:val="white"/>
        </w:rPr>
      </w:pPr>
    </w:p>
    <w:tbl>
      <w:tblPr>
        <w:tblStyle w:val="a6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7967F0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7967F0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Синхронное "И" (</w:t>
            </w:r>
            <w:proofErr w:type="spellStart"/>
            <w:r>
              <w:rPr>
                <w:sz w:val="18"/>
                <w:szCs w:val="18"/>
                <w:highlight w:val="white"/>
              </w:rPr>
              <w:t>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предшествующие процессы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следующие процессы запускаются одновременно</w:t>
            </w:r>
          </w:p>
        </w:tc>
      </w:tr>
    </w:tbl>
    <w:p w:rsidR="007967F0" w:rsidRDefault="007967F0">
      <w:pPr>
        <w:ind w:left="720"/>
        <w:rPr>
          <w:highlight w:val="white"/>
        </w:rPr>
      </w:pPr>
    </w:p>
    <w:p w:rsidR="007967F0" w:rsidRDefault="007967F0">
      <w:pPr>
        <w:numPr>
          <w:ilvl w:val="0"/>
          <w:numId w:val="1"/>
        </w:numPr>
        <w:rPr>
          <w:highlight w:val="white"/>
        </w:rPr>
      </w:pPr>
    </w:p>
    <w:tbl>
      <w:tblPr>
        <w:tblStyle w:val="a7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7967F0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7967F0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Асинхронное "ИЛИ" (</w:t>
            </w:r>
            <w:proofErr w:type="spellStart"/>
            <w:r>
              <w:rPr>
                <w:sz w:val="18"/>
                <w:szCs w:val="18"/>
                <w:highlight w:val="white"/>
              </w:rPr>
              <w:t>Asynchronous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следующих процессов должны быть запущены</w:t>
            </w:r>
          </w:p>
        </w:tc>
      </w:tr>
    </w:tbl>
    <w:p w:rsidR="007967F0" w:rsidRDefault="007967F0">
      <w:pPr>
        <w:rPr>
          <w:highlight w:val="white"/>
        </w:rPr>
      </w:pPr>
    </w:p>
    <w:p w:rsidR="007967F0" w:rsidRDefault="007967F0">
      <w:pPr>
        <w:numPr>
          <w:ilvl w:val="0"/>
          <w:numId w:val="1"/>
        </w:numPr>
        <w:rPr>
          <w:highlight w:val="white"/>
        </w:rPr>
      </w:pPr>
    </w:p>
    <w:tbl>
      <w:tblPr>
        <w:tblStyle w:val="a8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7967F0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7967F0">
        <w:trPr>
          <w:trHeight w:val="158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Синхронное "ИЛИ" (</w:t>
            </w:r>
            <w:proofErr w:type="spellStart"/>
            <w:r>
              <w:rPr>
                <w:sz w:val="18"/>
                <w:szCs w:val="18"/>
                <w:highlight w:val="white"/>
              </w:rPr>
              <w:t>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следующих процессов запускаются одновременно</w:t>
            </w:r>
          </w:p>
        </w:tc>
      </w:tr>
    </w:tbl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Какое имеет назначение перекресток исключающее «ИЛИ»?</w:t>
      </w:r>
    </w:p>
    <w:tbl>
      <w:tblPr>
        <w:tblStyle w:val="a9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7967F0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7967F0" w:rsidRDefault="00C73700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7967F0">
        <w:trPr>
          <w:trHeight w:val="11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Исключающее "ИЛИ" XOR (</w:t>
            </w:r>
            <w:proofErr w:type="spellStart"/>
            <w:r>
              <w:rPr>
                <w:sz w:val="18"/>
                <w:szCs w:val="18"/>
                <w:highlight w:val="white"/>
              </w:rPr>
              <w:t>Exclusive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Только один предшествующий процесс завершен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7967F0" w:rsidRDefault="00C73700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Только один следующий процесс запускается</w:t>
            </w:r>
          </w:p>
        </w:tc>
      </w:tr>
    </w:tbl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1. Каждому перекрестку для слияния должен предшествовать перекресток для разветвления.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2. Перекресток для слияния «И» не может следовать за перекрестком для разветвления типа синхронного или асинхронного «ИЛИ».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 xml:space="preserve">3. Перекресток для слияния «И» не может следовать за перекрестком для разветвления </w:t>
      </w:r>
      <w:proofErr w:type="gramStart"/>
      <w:r>
        <w:rPr>
          <w:highlight w:val="white"/>
        </w:rPr>
        <w:t>типа</w:t>
      </w:r>
      <w:proofErr w:type="gramEnd"/>
      <w:r>
        <w:rPr>
          <w:highlight w:val="white"/>
        </w:rPr>
        <w:t xml:space="preserve"> исключающего «ИЛИ».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4. Перекресток для слияния типа исключающего «ИЛИ» не может следовать за перекрестком для разветвления типа «И».</w:t>
      </w:r>
    </w:p>
    <w:p w:rsidR="007967F0" w:rsidRDefault="00C73700">
      <w:pPr>
        <w:ind w:left="720"/>
        <w:rPr>
          <w:highlight w:val="white"/>
        </w:rPr>
      </w:pPr>
      <w:r>
        <w:rPr>
          <w:highlight w:val="white"/>
        </w:rPr>
        <w:t>5. Перекресток, имеющий одну стрелку на одной стороне, должен иметь более одной стрелки на другой.</w:t>
      </w:r>
    </w:p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безусловные, синхронные, асинхронные</w:t>
      </w:r>
    </w:p>
    <w:p w:rsidR="007967F0" w:rsidRDefault="00C737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для документирования каждой функции</w:t>
      </w:r>
    </w:p>
    <w:sectPr w:rsidR="007967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319A0"/>
    <w:multiLevelType w:val="multilevel"/>
    <w:tmpl w:val="91EC9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7F0"/>
    <w:rsid w:val="007967F0"/>
    <w:rsid w:val="00C73700"/>
    <w:rsid w:val="00E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2643B-6C51-47F4-890A-E9D007BF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3992</Characters>
  <Application>Microsoft Office Word</Application>
  <DocSecurity>0</DocSecurity>
  <Lines>33</Lines>
  <Paragraphs>9</Paragraphs>
  <ScaleCrop>false</ScaleCrop>
  <Company>diakov.net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2018-12-16T16:59:00Z</dcterms:created>
  <dcterms:modified xsi:type="dcterms:W3CDTF">2018-12-16T17:14:00Z</dcterms:modified>
</cp:coreProperties>
</file>