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BF" w:rsidRPr="00966445" w:rsidRDefault="006900BF" w:rsidP="006900B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900BF" w:rsidRDefault="006900BF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8F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966445">
        <w:rPr>
          <w:rFonts w:ascii="Times New Roman" w:hAnsi="Times New Roman" w:cs="Times New Roman"/>
          <w:b/>
          <w:sz w:val="28"/>
          <w:szCs w:val="28"/>
        </w:rPr>
        <w:t>ИНАПРЯЖЕННОСТИ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ВЫПОЛНЯЕМОЙРАБОТЫ</w:t>
      </w:r>
    </w:p>
    <w:p w:rsidR="006D6745" w:rsidRPr="006D6745" w:rsidRDefault="006D6745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6745">
        <w:rPr>
          <w:rFonts w:ascii="Times New Roman" w:hAnsi="Times New Roman" w:cs="Times New Roman"/>
          <w:b/>
          <w:sz w:val="28"/>
          <w:szCs w:val="28"/>
        </w:rPr>
        <w:t>(Руководство по гигиенической оценке факторов рабочей среды и трудового процесса.</w:t>
      </w:r>
      <w:proofErr w:type="gramEnd"/>
      <w:r w:rsidRPr="006D6745">
        <w:rPr>
          <w:rFonts w:ascii="Times New Roman" w:hAnsi="Times New Roman" w:cs="Times New Roman"/>
          <w:b/>
          <w:sz w:val="28"/>
          <w:szCs w:val="28"/>
        </w:rPr>
        <w:t xml:space="preserve"> Критерии и классификация условий труда. </w:t>
      </w:r>
      <w:proofErr w:type="gramStart"/>
      <w:r w:rsidRPr="006D6745">
        <w:rPr>
          <w:rFonts w:ascii="Times New Roman" w:hAnsi="Times New Roman" w:cs="Times New Roman"/>
          <w:b/>
          <w:sz w:val="28"/>
          <w:szCs w:val="28"/>
        </w:rPr>
        <w:t>Руководство Р.2.2.2006-05)</w:t>
      </w:r>
      <w:proofErr w:type="gramEnd"/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A062F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ПОНЯТИЯ ТЯЖЕСТИ И НАПРЯЖЕННОСТИ ТРУДА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Одной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из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задач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охраны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рациональности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процесса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целью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выявления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утомительности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разработки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путей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снижения.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Физиологическая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стоимость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т.е. степень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организма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труде, носит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повседневном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языке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наименование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 Выполняемая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человеком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имеет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стороны: энергетическую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информационную.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Соответственно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этому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организма,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вызванное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мышечным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усилием, требующим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энергетического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обеспечения, называют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напряжение, вызванное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интенсивной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мозга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получению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анализу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информации</w:t>
      </w:r>
      <w:r w:rsidR="00A51336">
        <w:rPr>
          <w:rFonts w:ascii="Times New Roman" w:hAnsi="Times New Roman" w:cs="Times New Roman"/>
          <w:sz w:val="28"/>
          <w:szCs w:val="28"/>
        </w:rPr>
        <w:t>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называют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</w:t>
      </w:r>
    </w:p>
    <w:p w:rsidR="00966445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вкладывают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количество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совершенной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которое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можно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измерить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килограммометрах, затраченной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энергией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калориях,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аппарата. 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входит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процесса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показателям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загрузки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уплотненности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рабочего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дня, наличия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445">
        <w:rPr>
          <w:rFonts w:ascii="Times New Roman" w:hAnsi="Times New Roman" w:cs="Times New Roman"/>
          <w:sz w:val="28"/>
          <w:szCs w:val="28"/>
        </w:rPr>
        <w:t>микропауз</w:t>
      </w:r>
      <w:proofErr w:type="spellEnd"/>
      <w:r w:rsidRPr="00966445">
        <w:rPr>
          <w:rFonts w:ascii="Times New Roman" w:hAnsi="Times New Roman" w:cs="Times New Roman"/>
          <w:sz w:val="28"/>
          <w:szCs w:val="28"/>
        </w:rPr>
        <w:t>, количества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выполненных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операций, соотношения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времени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операцию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скоростью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выполнения,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сложности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количества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воспринимаемой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информации, изменения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чувств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психических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функций.</w:t>
      </w:r>
    </w:p>
    <w:p w:rsidR="006900BF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Подразделение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тяжелый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условно, т.к. тяжелый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включает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мышечное, так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интенсивное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-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даже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там, где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информационной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нагрузки; кроме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того, тяжесть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усугубляется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некоторых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условиях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 (например, нагревающий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микроклимат, высокая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влажность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пр.). Поэтому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 -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это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интегральное. Напротив, напряженность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наблюдается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чаще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чаще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там, где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усилий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="00A51336" w:rsidRPr="00966445">
        <w:rPr>
          <w:rFonts w:ascii="Times New Roman" w:hAnsi="Times New Roman" w:cs="Times New Roman"/>
          <w:sz w:val="28"/>
          <w:szCs w:val="28"/>
        </w:rPr>
        <w:t>нет,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может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оцениваться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позиций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тяжести. Следовательно, физиологическая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стоимость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должна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определяться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тяжестью, так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причем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видов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характеризующихся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тяжестью, будет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больше.</w:t>
      </w:r>
    </w:p>
    <w:p w:rsidR="00A5541E" w:rsidRDefault="00A5541E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0BF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32E" w:rsidRPr="00966445" w:rsidRDefault="007A232E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966445">
      <w:pPr>
        <w:pStyle w:val="a3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КЛАССИФИКАЦИЯ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ХАРАКТЕРА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6900BF" w:rsidRPr="00966445" w:rsidRDefault="006900BF" w:rsidP="007A232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Разнообразие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работ, требующих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различного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функциональных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систем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организма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выполняемых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различных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условиях, выдвинуло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настоятельную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потребность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классификации. Такая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классификация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A51336" w:rsidRPr="007A232E">
        <w:rPr>
          <w:rFonts w:ascii="Times New Roman" w:hAnsi="Times New Roman" w:cs="Times New Roman"/>
          <w:sz w:val="28"/>
          <w:szCs w:val="28"/>
        </w:rPr>
        <w:t>необходима,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прежде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всего, 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решения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ряда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практических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задач: нормирования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планирования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мероприятий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рационализации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режимов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отдыха, обоснования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длительности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рабочего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дня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отпусков, различных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льгот, очередности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разработки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применения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оздоровительных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мероприятий.</w:t>
      </w:r>
    </w:p>
    <w:p w:rsidR="00966445" w:rsidRPr="007A232E" w:rsidRDefault="00263D4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Д</w:t>
      </w:r>
      <w:r w:rsidR="006900BF" w:rsidRPr="007A232E">
        <w:rPr>
          <w:rFonts w:ascii="Times New Roman" w:hAnsi="Times New Roman" w:cs="Times New Roman"/>
          <w:sz w:val="28"/>
          <w:szCs w:val="28"/>
        </w:rPr>
        <w:t>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комплексной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оценки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характера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рабочих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местах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пользуются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гигиенической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классификацией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труда</w:t>
      </w:r>
      <w:r w:rsidR="007C2D0A">
        <w:rPr>
          <w:rFonts w:ascii="Times New Roman" w:hAnsi="Times New Roman" w:cs="Times New Roman"/>
          <w:sz w:val="28"/>
          <w:szCs w:val="28"/>
        </w:rPr>
        <w:t>.</w:t>
      </w:r>
      <w:r w:rsidR="006900BF" w:rsidRPr="007A23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00BF" w:rsidRPr="007A23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6900BF" w:rsidRPr="007A232E">
        <w:rPr>
          <w:rFonts w:ascii="Times New Roman" w:hAnsi="Times New Roman" w:cs="Times New Roman"/>
          <w:sz w:val="28"/>
          <w:szCs w:val="28"/>
        </w:rPr>
        <w:t>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этой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классификации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выделяются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три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класса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характера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7A232E">
        <w:rPr>
          <w:rFonts w:ascii="Times New Roman" w:hAnsi="Times New Roman" w:cs="Times New Roman"/>
          <w:sz w:val="28"/>
          <w:szCs w:val="28"/>
        </w:rPr>
        <w:t>труда.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1 класс 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оптимальные -</w:t>
      </w:r>
      <w:r w:rsidR="00A51336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при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которых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исключено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неблагоприятное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воздействие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здоровье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работающих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производственных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факторов, создаются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предпосылки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сохранения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высокого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уровня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работоспособности (отсутствие, либо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соответствие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уровням, принятым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качестве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безопасных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для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населения).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232E">
        <w:rPr>
          <w:rFonts w:ascii="Times New Roman" w:hAnsi="Times New Roman" w:cs="Times New Roman"/>
          <w:sz w:val="28"/>
          <w:szCs w:val="28"/>
        </w:rPr>
        <w:t>II класс 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допустимые -</w:t>
      </w:r>
      <w:r w:rsidR="00263D4F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при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которых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производственных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превышает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установленных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гигиенических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нормативов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рабочих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местах, 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возможные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функциональные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изменения,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вызванные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трудовым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процессом, восстанавливаются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регламентированного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отдыха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течение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рабочего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дня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домашнего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отдыха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началу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следующей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оказывают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неблагоприятного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воздействия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ближайшем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отдаленном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периоде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состояние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здоровья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потомств</w:t>
      </w:r>
      <w:r w:rsidR="00A51336" w:rsidRPr="007A232E">
        <w:rPr>
          <w:rFonts w:ascii="Times New Roman" w:hAnsi="Times New Roman" w:cs="Times New Roman"/>
          <w:sz w:val="28"/>
          <w:szCs w:val="28"/>
        </w:rPr>
        <w:t>о</w:t>
      </w:r>
      <w:r w:rsidRPr="007A232E">
        <w:rPr>
          <w:rFonts w:ascii="Times New Roman" w:hAnsi="Times New Roman" w:cs="Times New Roman"/>
          <w:sz w:val="28"/>
          <w:szCs w:val="28"/>
        </w:rPr>
        <w:t>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III класс 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вредные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опасные 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при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которых,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вследствие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нарушения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санитарных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норм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 xml:space="preserve">правил, </w:t>
      </w:r>
      <w:proofErr w:type="gramStart"/>
      <w:r w:rsidRPr="007A232E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воздействие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среды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значениях, превышающих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гигиенические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нормативы, 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психофизиологических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трудовой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деятельности,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вызывающих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функциональные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изменения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организма, которые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могут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привести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стойкому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снижению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нарушению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здоровья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работающих.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Выделяются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3 степени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труда: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1 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вызывающие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функциональные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нарушения,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которые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раннем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выявлении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после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прекращения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воздействия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носят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обратимый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t>2 степень 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вызывающие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стойкие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функциональные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нарушения, способствующие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росту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показателей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заболеваемости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утратой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трудоспособности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и, 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отдельных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случаях, появлению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признаков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легких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форм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заболеваний.</w:t>
      </w:r>
    </w:p>
    <w:p w:rsidR="00966445" w:rsidRPr="007A232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sz w:val="28"/>
          <w:szCs w:val="28"/>
        </w:rPr>
        <w:lastRenderedPageBreak/>
        <w:t>3 степень -</w:t>
      </w:r>
      <w:r w:rsidR="0096644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повышенной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опасностью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развития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заболеваний, повышенной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заболеваемостью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утратой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трудоспособности.</w:t>
      </w:r>
    </w:p>
    <w:p w:rsidR="006900BF" w:rsidRDefault="006900BF" w:rsidP="007A232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ПОКАЗАТЕЛИ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ТЯЖЕСТИ</w:t>
      </w:r>
      <w:r w:rsidR="007A23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ФИЗИЧЕСКОГО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классификации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тяжесть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рядом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показателей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динамической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работы: мощностью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работы, величиной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грузки</w:t>
      </w:r>
      <w:r w:rsidR="00263D4F" w:rsidRPr="00A5541E">
        <w:rPr>
          <w:rFonts w:ascii="Times New Roman" w:hAnsi="Times New Roman" w:cs="Times New Roman"/>
          <w:sz w:val="26"/>
          <w:szCs w:val="26"/>
        </w:rPr>
        <w:t>, весом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характером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пространстве,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наклоном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корпуса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количеством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мелких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стереотипных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движений.</w:t>
      </w:r>
    </w:p>
    <w:p w:rsidR="00CC77EA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Мощность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внешней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величиной, затрачиваемой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человеком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физической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энергии. Для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мощности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внешней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необходимо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вычислить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работы, выполненной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единицу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времени. Поскольку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физическая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связана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материалов, полуфабрикатов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изделий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расстояние, то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формуле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должны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учитываться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элемента:1)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подъем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2) перемещение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горизонтали, 3) опускание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груза.</w:t>
      </w:r>
    </w:p>
    <w:p w:rsidR="00966445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выполненной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формуле:</w:t>
      </w:r>
    </w:p>
    <w:p w:rsidR="001C5620" w:rsidRPr="001C5620" w:rsidRDefault="001C5620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P*H+P*H1+P*L</m:t>
              </m:r>
            </m:e>
          </m:d>
        </m:oMath>
      </m:oMathPara>
    </w:p>
    <w:p w:rsidR="00CC77EA" w:rsidRPr="00A5541E" w:rsidRDefault="00CC77EA" w:rsidP="00CC77EA">
      <w:pPr>
        <w:pStyle w:val="a3"/>
        <w:ind w:firstLine="14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966445" w:rsidRPr="00A5541E" w:rsidRDefault="006900BF" w:rsidP="00CC77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где: 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 xml:space="preserve">– работа, </w:t>
      </w:r>
      <w:proofErr w:type="spellStart"/>
      <w:r w:rsidRPr="00A5541E">
        <w:rPr>
          <w:rFonts w:ascii="Times New Roman" w:hAnsi="Times New Roman" w:cs="Times New Roman"/>
          <w:sz w:val="26"/>
          <w:szCs w:val="26"/>
        </w:rPr>
        <w:t>кгм</w:t>
      </w:r>
      <w:proofErr w:type="spellEnd"/>
      <w:r w:rsidRPr="00A5541E">
        <w:rPr>
          <w:rFonts w:ascii="Times New Roman" w:hAnsi="Times New Roman" w:cs="Times New Roman"/>
          <w:sz w:val="26"/>
          <w:szCs w:val="26"/>
        </w:rPr>
        <w:t>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5541E">
        <w:rPr>
          <w:rFonts w:ascii="Times New Roman" w:hAnsi="Times New Roman" w:cs="Times New Roman"/>
          <w:sz w:val="26"/>
          <w:szCs w:val="26"/>
        </w:rPr>
        <w:t>Р</w:t>
      </w:r>
      <w:proofErr w:type="gramEnd"/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– масса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кг;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Н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– высота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подъема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м;</w:t>
      </w:r>
    </w:p>
    <w:p w:rsidR="00CC77EA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Н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A5541E">
        <w:rPr>
          <w:rFonts w:ascii="Times New Roman" w:hAnsi="Times New Roman" w:cs="Times New Roman"/>
          <w:sz w:val="26"/>
          <w:szCs w:val="26"/>
        </w:rPr>
        <w:t>– высота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опускания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м;</w:t>
      </w:r>
    </w:p>
    <w:p w:rsidR="00CC77EA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L– расстояние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перемещения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 xml:space="preserve">горизонтали,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м</w:t>
      </w:r>
      <w:proofErr w:type="gramEnd"/>
      <w:r w:rsidRPr="00A5541E">
        <w:rPr>
          <w:rFonts w:ascii="Times New Roman" w:hAnsi="Times New Roman" w:cs="Times New Roman"/>
          <w:sz w:val="26"/>
          <w:szCs w:val="26"/>
        </w:rPr>
        <w:t>.</w:t>
      </w:r>
    </w:p>
    <w:p w:rsidR="00CC77EA" w:rsidRPr="00A5541E" w:rsidRDefault="00CC77EA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900BF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Мощность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выполняемой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 xml:space="preserve">формуле: </w:t>
      </w:r>
    </w:p>
    <w:p w:rsidR="006900BF" w:rsidRPr="00A5541E" w:rsidRDefault="00CC77EA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*K</m:t>
          </m:r>
        </m:oMath>
      </m:oMathPara>
    </w:p>
    <w:p w:rsidR="00966445" w:rsidRPr="00A5541E" w:rsidRDefault="006900BF" w:rsidP="00CC77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 xml:space="preserve">где: N– мощность,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Вт</w:t>
      </w:r>
      <w:proofErr w:type="gramEnd"/>
      <w:r w:rsidRPr="00A5541E">
        <w:rPr>
          <w:rFonts w:ascii="Times New Roman" w:hAnsi="Times New Roman" w:cs="Times New Roman"/>
          <w:sz w:val="26"/>
          <w:szCs w:val="26"/>
        </w:rPr>
        <w:t>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 xml:space="preserve">A– работа, </w:t>
      </w:r>
      <w:proofErr w:type="spellStart"/>
      <w:r w:rsidRPr="00A5541E">
        <w:rPr>
          <w:rFonts w:ascii="Times New Roman" w:hAnsi="Times New Roman" w:cs="Times New Roman"/>
          <w:sz w:val="26"/>
          <w:szCs w:val="26"/>
        </w:rPr>
        <w:t>кгм</w:t>
      </w:r>
      <w:proofErr w:type="spellEnd"/>
      <w:r w:rsidRPr="00A5541E">
        <w:rPr>
          <w:rFonts w:ascii="Times New Roman" w:hAnsi="Times New Roman" w:cs="Times New Roman"/>
          <w:sz w:val="26"/>
          <w:szCs w:val="26"/>
        </w:rPr>
        <w:t>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K– коэффициент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1E">
        <w:rPr>
          <w:rFonts w:ascii="Times New Roman" w:hAnsi="Times New Roman" w:cs="Times New Roman"/>
          <w:sz w:val="26"/>
          <w:szCs w:val="26"/>
        </w:rPr>
        <w:t>кгм</w:t>
      </w:r>
      <w:proofErr w:type="spellEnd"/>
      <w:r w:rsidRPr="00A5541E">
        <w:rPr>
          <w:rFonts w:ascii="Times New Roman" w:hAnsi="Times New Roman" w:cs="Times New Roman"/>
          <w:sz w:val="26"/>
          <w:szCs w:val="26"/>
        </w:rPr>
        <w:t>/с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Вт, равный 10;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 xml:space="preserve">T– время,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A5541E">
        <w:rPr>
          <w:rFonts w:ascii="Times New Roman" w:hAnsi="Times New Roman" w:cs="Times New Roman"/>
          <w:sz w:val="26"/>
          <w:szCs w:val="26"/>
        </w:rPr>
        <w:t>.</w:t>
      </w:r>
    </w:p>
    <w:p w:rsidR="00966445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Величина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путем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непосредственных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замеров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берется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технологических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карт. Величины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этого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параметра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показывают,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что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женщин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нельзя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использовать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работах, которые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классифицируются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как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вредные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опасные.</w:t>
      </w:r>
    </w:p>
    <w:p w:rsidR="006900BF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lastRenderedPageBreak/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мелких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стереотипных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движений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кистей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пальцев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рук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1E">
        <w:rPr>
          <w:rFonts w:ascii="Times New Roman" w:hAnsi="Times New Roman" w:cs="Times New Roman"/>
          <w:sz w:val="26"/>
          <w:szCs w:val="26"/>
        </w:rPr>
        <w:t>хронометрированием</w:t>
      </w:r>
      <w:proofErr w:type="spellEnd"/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протяжении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смены.</w:t>
      </w:r>
    </w:p>
    <w:p w:rsidR="00966445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Статическая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нагрузка, связанная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поддержанием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без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тела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отдельных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звеньев, характеризуется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удерживаемого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удержания. Рассчитывают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статическую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нагрузку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умножением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 (в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кг</w:t>
      </w:r>
      <w:proofErr w:type="gramEnd"/>
      <w:r w:rsidRPr="00A5541E">
        <w:rPr>
          <w:rFonts w:ascii="Times New Roman" w:hAnsi="Times New Roman" w:cs="Times New Roman"/>
          <w:sz w:val="26"/>
          <w:szCs w:val="26"/>
        </w:rPr>
        <w:t>) 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удержания (определяют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1E">
        <w:rPr>
          <w:rFonts w:ascii="Times New Roman" w:hAnsi="Times New Roman" w:cs="Times New Roman"/>
          <w:sz w:val="26"/>
          <w:szCs w:val="26"/>
        </w:rPr>
        <w:t>хронометрированием</w:t>
      </w:r>
      <w:proofErr w:type="spellEnd"/>
      <w:r w:rsidRPr="00A5541E">
        <w:rPr>
          <w:rFonts w:ascii="Times New Roman" w:hAnsi="Times New Roman" w:cs="Times New Roman"/>
          <w:sz w:val="26"/>
          <w:szCs w:val="26"/>
        </w:rPr>
        <w:t>),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выражают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кгс.</w:t>
      </w:r>
    </w:p>
    <w:p w:rsidR="00966445" w:rsidRPr="00A5541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Рабочая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пространстве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непосредственным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наблюдением, измерением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углов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наклона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длины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пути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данными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хронометражных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наблюдений (% времени</w:t>
      </w:r>
      <w:r w:rsidR="00CC77EA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пребывания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позе).</w:t>
      </w:r>
    </w:p>
    <w:p w:rsidR="006900BF" w:rsidRPr="00966445" w:rsidRDefault="006900BF" w:rsidP="007A69A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ПОКАЗАТЕЛИ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НАПРЯЖЕННОСТИ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6900BF" w:rsidRPr="00254C3D" w:rsidRDefault="007B1142" w:rsidP="007A69A3">
      <w:pPr>
        <w:pStyle w:val="a3"/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Нервная напряженность определяется:</w:t>
      </w:r>
    </w:p>
    <w:p w:rsidR="007B1142" w:rsidRPr="00254C3D" w:rsidRDefault="007B1142" w:rsidP="007A69A3">
      <w:pPr>
        <w:pStyle w:val="a3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степенью напряжения внимания (средней плотностью сигналов в час);</w:t>
      </w:r>
    </w:p>
    <w:p w:rsidR="007B1142" w:rsidRPr="00254C3D" w:rsidRDefault="007B1142" w:rsidP="007A69A3">
      <w:pPr>
        <w:pStyle w:val="a3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напряженностью анализаторных функци</w:t>
      </w:r>
      <w:proofErr w:type="gramStart"/>
      <w:r w:rsidRPr="00254C3D">
        <w:rPr>
          <w:rFonts w:ascii="Times New Roman" w:hAnsi="Times New Roman" w:cs="Times New Roman"/>
          <w:sz w:val="26"/>
          <w:szCs w:val="26"/>
        </w:rPr>
        <w:t>й(</w:t>
      </w:r>
      <w:proofErr w:type="gramEnd"/>
      <w:r w:rsidRPr="00254C3D">
        <w:rPr>
          <w:rFonts w:ascii="Times New Roman" w:hAnsi="Times New Roman" w:cs="Times New Roman"/>
          <w:sz w:val="26"/>
          <w:szCs w:val="26"/>
        </w:rPr>
        <w:t>зрительного, слухового и др.);</w:t>
      </w:r>
    </w:p>
    <w:p w:rsidR="007B1142" w:rsidRPr="00254C3D" w:rsidRDefault="007B1142" w:rsidP="007A69A3">
      <w:pPr>
        <w:pStyle w:val="a3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эмоциональное и интеллектуальное напряжение;</w:t>
      </w:r>
    </w:p>
    <w:p w:rsidR="007B1142" w:rsidRPr="00254C3D" w:rsidRDefault="007B1142" w:rsidP="007A69A3">
      <w:pPr>
        <w:pStyle w:val="a3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продолжительностью выполнения операции;</w:t>
      </w:r>
    </w:p>
    <w:p w:rsidR="007B1142" w:rsidRPr="00254C3D" w:rsidRDefault="00254C3D" w:rsidP="007A69A3">
      <w:pPr>
        <w:pStyle w:val="a3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монотонностью и сменностью работы</w:t>
      </w:r>
      <w:r w:rsidR="007B1142" w:rsidRPr="00254C3D">
        <w:rPr>
          <w:rFonts w:ascii="Times New Roman" w:hAnsi="Times New Roman" w:cs="Times New Roman"/>
          <w:sz w:val="26"/>
          <w:szCs w:val="26"/>
        </w:rPr>
        <w:t>.</w:t>
      </w:r>
    </w:p>
    <w:p w:rsidR="003F62AC" w:rsidRPr="00254C3D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</w:rPr>
        <w:t>Внимание</w:t>
      </w:r>
      <w:r w:rsidRPr="00254C3D">
        <w:rPr>
          <w:rFonts w:ascii="Times New Roman" w:hAnsi="Times New Roman" w:cs="Times New Roman"/>
          <w:sz w:val="26"/>
          <w:szCs w:val="26"/>
        </w:rPr>
        <w:t>. Научно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обоснованных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критериев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физиологической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оценки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внимания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условиях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настоящее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имеется.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связи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оценка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фактору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внимания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производится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параметрам,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частности, 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длительности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сосредоточенного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наблюдения. Этот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параметр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помощью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хронометражных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исследований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C3D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254C3D">
        <w:rPr>
          <w:rFonts w:ascii="Times New Roman" w:hAnsi="Times New Roman" w:cs="Times New Roman"/>
          <w:sz w:val="26"/>
          <w:szCs w:val="26"/>
        </w:rPr>
        <w:t xml:space="preserve"> % </w:t>
      </w:r>
      <w:proofErr w:type="gramStart"/>
      <w:r w:rsidRPr="00254C3D">
        <w:rPr>
          <w:rFonts w:ascii="Times New Roman" w:hAnsi="Times New Roman" w:cs="Times New Roman"/>
          <w:sz w:val="26"/>
          <w:szCs w:val="26"/>
        </w:rPr>
        <w:t>к</w:t>
      </w:r>
      <w:proofErr w:type="gramEnd"/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общему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времени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смены.</w:t>
      </w:r>
    </w:p>
    <w:p w:rsidR="00966445" w:rsidRPr="00254C3D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Средняя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плотность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сигналов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в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час.</w:t>
      </w:r>
      <w:r w:rsidRPr="00254C3D">
        <w:rPr>
          <w:rFonts w:ascii="Times New Roman" w:hAnsi="Times New Roman" w:cs="Times New Roman"/>
          <w:sz w:val="26"/>
          <w:szCs w:val="26"/>
        </w:rPr>
        <w:t xml:space="preserve">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качестве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сигналов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выступают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сообщения, распоряжения,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каждое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ряд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признаков, например, время, место, объект,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процесс. Поэтому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расчете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плотности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сигналов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 (определяемое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помощью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хронометража) умножается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признаков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информации.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Например, среднее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составляет 60, содержащаяся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информация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 4 признака. Тогда 60 х 4 = 240, т.е. выполняемая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этому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показателю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соответствует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допустимому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характеру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труда.</w:t>
      </w:r>
    </w:p>
    <w:p w:rsidR="00966445" w:rsidRPr="007A232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Напряженность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анализаторных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функций</w:t>
      </w:r>
      <w:r w:rsidRPr="007A232E">
        <w:rPr>
          <w:rFonts w:ascii="Times New Roman" w:hAnsi="Times New Roman" w:cs="Times New Roman"/>
          <w:b/>
          <w:sz w:val="28"/>
          <w:szCs w:val="28"/>
        </w:rPr>
        <w:t>.</w:t>
      </w:r>
      <w:r w:rsidRPr="007A232E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зрения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определяется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категори</w:t>
      </w:r>
      <w:r w:rsidR="003F62AC" w:rsidRPr="007A232E">
        <w:rPr>
          <w:rFonts w:ascii="Times New Roman" w:hAnsi="Times New Roman" w:cs="Times New Roman"/>
          <w:sz w:val="28"/>
          <w:szCs w:val="28"/>
        </w:rPr>
        <w:t>ей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зрительных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работ. 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слухового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анализатора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определяется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зависимости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слышимости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речи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расстояния.</w:t>
      </w:r>
    </w:p>
    <w:p w:rsidR="00966445" w:rsidRPr="007A232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Эмоциональное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интеллектуальное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напряжение</w:t>
      </w:r>
      <w:r w:rsidRPr="007A232E">
        <w:rPr>
          <w:rFonts w:ascii="Times New Roman" w:hAnsi="Times New Roman" w:cs="Times New Roman"/>
          <w:sz w:val="28"/>
          <w:szCs w:val="28"/>
        </w:rPr>
        <w:t>. Количественные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критерии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эмоционального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интеллектуального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настоящее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разработаны,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хотя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известно, что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результате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отрицательных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эмоций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возникают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патологические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состояния (неврозы, сердечно</w:t>
      </w:r>
      <w:r w:rsidR="003F62AC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-</w:t>
      </w:r>
      <w:r w:rsidR="003F62AC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сосудистые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заболевания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др.). Учитывая,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реальных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трудовой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деятельности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эмоционального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интеллектуального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существенным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фактором, определяющим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успешность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надежность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деятельности, 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градации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учитывают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производственные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факторы, создающие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предпосылки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возникновения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неблагоприятных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эмоциональных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состояний. Такими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факторами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могут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быть: режим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работы (свободный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графику), необходимость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принимать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решения, срочность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выполнения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задания, дефицит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информации, повышенная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ответственность,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личный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риск, опасность.</w:t>
      </w:r>
    </w:p>
    <w:p w:rsidR="00966445" w:rsidRPr="007A232E" w:rsidRDefault="006900BF" w:rsidP="007C2D0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D0A">
        <w:rPr>
          <w:rFonts w:ascii="Times New Roman" w:hAnsi="Times New Roman" w:cs="Times New Roman"/>
          <w:b/>
          <w:sz w:val="28"/>
          <w:szCs w:val="28"/>
          <w:u w:val="single"/>
        </w:rPr>
        <w:t>Монотонность</w:t>
      </w:r>
      <w:r w:rsidRPr="007C2D0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2D0A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монотонности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определяется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сложностью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операций. Так, если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операция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состоит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более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 10 элементов, 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следует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отнести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32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оптимальной. Операция, состоящая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 3-2 элементов, 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наименее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содержательной, 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ее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надо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отнести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первой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степени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опасности.</w:t>
      </w:r>
    </w:p>
    <w:p w:rsidR="00966445" w:rsidRPr="007A232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Продолжительность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выполнения</w:t>
      </w:r>
      <w:r w:rsidR="00A062F5" w:rsidRPr="007A2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операции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также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определяет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степень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монотонности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труда. Монотонность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возрастает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уменьшением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необходимого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времени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операцию. Оно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наименьшее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первой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опасности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составляет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1</w:t>
      </w:r>
      <w:r w:rsidR="005E1F69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-</w:t>
      </w:r>
      <w:r w:rsidR="005E1F69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2 сек. Для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многих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новых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форм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характерным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наблюдение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ходом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производственного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процесса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без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активных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действий. Такое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пассивное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наблюдение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есть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разновидность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проявления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монотонности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lastRenderedPageBreak/>
        <w:t>труде. Работа, 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которой</w:t>
      </w:r>
      <w:r w:rsidR="005E1F69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пассивное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наблюдение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составляет 96 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более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процентов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продолжительности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смены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относится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32E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классу.</w:t>
      </w:r>
    </w:p>
    <w:p w:rsidR="00966445" w:rsidRPr="007A232E" w:rsidRDefault="006900BF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32E">
        <w:rPr>
          <w:rFonts w:ascii="Times New Roman" w:hAnsi="Times New Roman" w:cs="Times New Roman"/>
          <w:b/>
          <w:sz w:val="28"/>
          <w:szCs w:val="28"/>
          <w:u w:val="single"/>
        </w:rPr>
        <w:t>Сменность.</w:t>
      </w:r>
      <w:r w:rsidRPr="007A232E">
        <w:rPr>
          <w:rFonts w:ascii="Times New Roman" w:hAnsi="Times New Roman" w:cs="Times New Roman"/>
          <w:sz w:val="28"/>
          <w:szCs w:val="28"/>
        </w:rPr>
        <w:t xml:space="preserve"> При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трехсменной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наиболее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условиях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ночной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смены. Наибольшая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ночной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обусловлена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тем, что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перемещение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ночные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часы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извращает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тысячелетиями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установившуюся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природу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жизнедеятельности. Ночная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требует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организма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перестройки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прочного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суточного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стереотипа, что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связано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большим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напряжением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деятельности. При 3-сменной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такая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перестройка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даже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через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каждые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2 недели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 3-ю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может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отразиться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устойчивости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центральной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системы, периодически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нарушаемой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каждый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раз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вновь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большим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трудом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устанавливаемой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некотором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относительно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устойчивом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уровне. Следствием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этой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неуравновешенности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меньшая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труда, отрицательная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субъективная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ночную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наиболее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низкий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уровень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физиологических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функций. Утренние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дневные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часы, следующие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за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ночным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отдыхом,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являются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наилучшими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отношении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работоспособности, т.к. работа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это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суток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совпадает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часами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наибольшей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биологической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активности. Поэтому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утреннее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дневное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время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продолжительностью 7-8 часов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сравнительно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наименее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напряженной. Вечернюю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рабочие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начинают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наслоениями,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вызванными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предшествующим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бодрствованием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и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бытовой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нагрузкой. 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поздние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вечерние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часы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наблюдается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снижение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уровня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физиологических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функций.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Поэтому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работа</w:t>
      </w:r>
      <w:r w:rsidR="004737CD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во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вторую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смену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по 7-8 часов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более</w:t>
      </w:r>
      <w:r w:rsidR="00A062F5" w:rsidRPr="007A232E">
        <w:rPr>
          <w:rFonts w:ascii="Times New Roman" w:hAnsi="Times New Roman" w:cs="Times New Roman"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sz w:val="28"/>
          <w:szCs w:val="28"/>
        </w:rPr>
        <w:t>напряженной.</w:t>
      </w:r>
    </w:p>
    <w:p w:rsidR="003F62AC" w:rsidRDefault="003F62AC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32E" w:rsidRDefault="007A232E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32E" w:rsidRDefault="007A232E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32E" w:rsidRDefault="007A232E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32E" w:rsidRPr="007A232E" w:rsidRDefault="007A232E" w:rsidP="007A69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Pr="007A232E" w:rsidRDefault="006900BF" w:rsidP="007A69A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32E">
        <w:rPr>
          <w:rFonts w:ascii="Times New Roman" w:hAnsi="Times New Roman" w:cs="Times New Roman"/>
          <w:b/>
          <w:sz w:val="28"/>
          <w:szCs w:val="28"/>
        </w:rPr>
        <w:lastRenderedPageBreak/>
        <w:t>ПРАВИЛА</w:t>
      </w:r>
      <w:r w:rsidR="00A062F5" w:rsidRPr="007A23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</w:rPr>
        <w:t>ПОЛЬЗОВАНИЯ</w:t>
      </w:r>
      <w:r w:rsidR="00A062F5" w:rsidRPr="007A23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32E">
        <w:rPr>
          <w:rFonts w:ascii="Times New Roman" w:hAnsi="Times New Roman" w:cs="Times New Roman"/>
          <w:b/>
          <w:sz w:val="28"/>
          <w:szCs w:val="28"/>
        </w:rPr>
        <w:t>КЛАССИФИКАЦИЕЙ</w:t>
      </w:r>
    </w:p>
    <w:p w:rsidR="006900BF" w:rsidRPr="00966445" w:rsidRDefault="006900BF" w:rsidP="007A69A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7A69A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пользовании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классификацией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надо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учитывать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следующее:</w:t>
      </w:r>
    </w:p>
    <w:p w:rsidR="004737CD" w:rsidRPr="00966445" w:rsidRDefault="006900BF" w:rsidP="007A69A3">
      <w:pPr>
        <w:pStyle w:val="a3"/>
        <w:numPr>
          <w:ilvl w:val="0"/>
          <w:numId w:val="1"/>
        </w:numPr>
        <w:spacing w:line="360" w:lineRule="auto"/>
        <w:ind w:left="0" w:firstLine="258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наличии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двух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деятельности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следует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оценить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наиболее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высокому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степени;</w:t>
      </w:r>
    </w:p>
    <w:p w:rsidR="004737CD" w:rsidRPr="00966445" w:rsidRDefault="006900BF" w:rsidP="007C2D0A">
      <w:pPr>
        <w:pStyle w:val="a3"/>
        <w:numPr>
          <w:ilvl w:val="0"/>
          <w:numId w:val="1"/>
        </w:numPr>
        <w:spacing w:line="360" w:lineRule="auto"/>
        <w:ind w:left="0" w:firstLine="255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когда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один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тот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же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вид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разным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попадает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классы</w:t>
      </w:r>
      <w:r w:rsidR="005E1F69" w:rsidRPr="005E1F69">
        <w:rPr>
          <w:rFonts w:ascii="Times New Roman" w:hAnsi="Times New Roman" w:cs="Times New Roman"/>
          <w:sz w:val="28"/>
          <w:szCs w:val="28"/>
        </w:rPr>
        <w:t>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окончательная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должна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определяться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одному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обязательному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двум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дополнительным (факультативным) факторам. 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числу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обязательных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относятся: мощность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количество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мелких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стереотипных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движений, статическая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нагрузка,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напряженности: внимание, плотность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сигналов, эмоциональное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интеллектуальное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напряжение. 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остальные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факторы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являются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факультативными.</w:t>
      </w:r>
    </w:p>
    <w:p w:rsidR="007A69A3" w:rsidRDefault="007A69A3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173D5F" w:rsidRDefault="00173D5F" w:rsidP="006C5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2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Тяжесть и напряженность трудового процесса</w:t>
      </w:r>
    </w:p>
    <w:p w:rsidR="006C5B44" w:rsidRPr="007A232E" w:rsidRDefault="006C5B44" w:rsidP="006C5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73D5F" w:rsidRPr="007A232E" w:rsidRDefault="00173D5F" w:rsidP="007C2D0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Критерии и классификация тяжести и напряженности трудового процесса представлена соответственно в табл. 1 и </w:t>
      </w:r>
      <w:r w:rsidR="007C2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:rsidR="00173D5F" w:rsidRPr="007A232E" w:rsidRDefault="00173D5F" w:rsidP="007C2D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тяжести физического труда проводится на основе учета всех при</w:t>
      </w: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веденных в табл. 1 показателей. При этом</w:t>
      </w:r>
      <w:proofErr w:type="gramStart"/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вначале устанавливают класс по каждому и</w:t>
      </w:r>
      <w:r w:rsidR="006C5B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меренному показателю, а окончательная оценка тяжести труда устанавливается по показателю, получившему наиболее высокую степень тяжести. При наличии двух и более показателей класса 3.1 и 3.2 условия труда по тяжести трудового процесса оцениваются на 1 степень выше (3.2 и 3.3 классы соответственно). По данному критерию наивысшая степень тяжести - </w:t>
      </w:r>
      <w:r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3.3. (см. «Методика оценки тяжести трудового процесса» - прилож. 15</w:t>
      </w:r>
      <w:r w:rsidR="001F2B52"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2B52" w:rsidRPr="001F2B52">
        <w:rPr>
          <w:rFonts w:ascii="Times New Roman" w:hAnsi="Times New Roman" w:cs="Times New Roman"/>
          <w:b/>
          <w:sz w:val="28"/>
          <w:szCs w:val="28"/>
        </w:rPr>
        <w:t>Руководства</w:t>
      </w:r>
      <w:r w:rsidR="001F2B52" w:rsidRPr="001F2B52">
        <w:rPr>
          <w:rFonts w:ascii="Times New Roman" w:hAnsi="Times New Roman" w:cs="Times New Roman"/>
          <w:b/>
          <w:sz w:val="28"/>
          <w:szCs w:val="28"/>
        </w:rPr>
        <w:t xml:space="preserve"> Р.2.2.2006-05</w:t>
      </w:r>
      <w:r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73D5F" w:rsidRDefault="00173D5F" w:rsidP="007C2D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Оценка напряженности труда осуществляется в соответствии с </w:t>
      </w:r>
      <w:r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«Методикой оценки напряженности трудового процесса» (пр</w:t>
      </w:r>
      <w:r w:rsidR="006D49EB"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илож. 16</w:t>
      </w:r>
      <w:r w:rsidR="001F2B52"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2B52" w:rsidRPr="001F2B52">
        <w:rPr>
          <w:rFonts w:ascii="Times New Roman" w:hAnsi="Times New Roman" w:cs="Times New Roman"/>
          <w:b/>
          <w:sz w:val="28"/>
          <w:szCs w:val="28"/>
        </w:rPr>
        <w:t>Руководств</w:t>
      </w:r>
      <w:r w:rsidR="001F2B52" w:rsidRPr="001F2B52">
        <w:rPr>
          <w:rFonts w:ascii="Times New Roman" w:hAnsi="Times New Roman" w:cs="Times New Roman"/>
          <w:b/>
          <w:sz w:val="28"/>
          <w:szCs w:val="28"/>
        </w:rPr>
        <w:t>а</w:t>
      </w:r>
      <w:r w:rsidR="001F2B52" w:rsidRPr="001F2B52">
        <w:rPr>
          <w:rFonts w:ascii="Times New Roman" w:hAnsi="Times New Roman" w:cs="Times New Roman"/>
          <w:b/>
          <w:sz w:val="28"/>
          <w:szCs w:val="28"/>
        </w:rPr>
        <w:t xml:space="preserve"> Р.2.2.2006-05</w:t>
      </w:r>
      <w:r w:rsidR="006D49EB"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Наивысшая степень на</w:t>
      </w:r>
      <w:r w:rsidRPr="001F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пряженности труда</w:t>
      </w:r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классу 3.3.</w:t>
      </w:r>
      <w:r w:rsidR="006C5B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73D5F" w:rsidRPr="007A232E" w:rsidRDefault="00173D5F" w:rsidP="006C5B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7A2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p w:rsidR="00173D5F" w:rsidRPr="007A232E" w:rsidRDefault="00173D5F" w:rsidP="00173D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3D5F" w:rsidRPr="006C5B44" w:rsidRDefault="00173D5F" w:rsidP="006D49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Классы условий труда по показателям тяжести трудового процесса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1418"/>
        <w:gridCol w:w="1276"/>
        <w:gridCol w:w="1417"/>
        <w:gridCol w:w="1559"/>
      </w:tblGrid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Показатели тяжести трудового процесса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Классы условий труда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W w:w="396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6C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Оптимальный</w:t>
            </w:r>
            <w:proofErr w:type="gramEnd"/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(легкая физическая нагрузка)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6C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Допустимый (средняя физическая </w:t>
            </w:r>
            <w:proofErr w:type="spellStart"/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рузка</w:t>
            </w:r>
            <w:proofErr w:type="spellEnd"/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Вредный (тяжелый труд)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396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степени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степени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96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1. Физическая динамическая нагрузка (единицы внешней механической работы за смену, </w:t>
            </w:r>
            <w:proofErr w:type="spellStart"/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кгм</w:t>
            </w:r>
            <w:proofErr w:type="spellEnd"/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173D5F" w:rsidRPr="006C5B44" w:rsidTr="00173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 При региональной нагрузке (с преимущественным участием мышц рук и плечевого пояса) при перемещении груза на расстояние до 1 м:</w:t>
            </w:r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5000</w:t>
            </w:r>
          </w:p>
          <w:p w:rsidR="00173D5F" w:rsidRPr="006C5B44" w:rsidRDefault="009F7C0B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3000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7000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4000</w:t>
            </w:r>
          </w:p>
        </w:tc>
      </w:tr>
      <w:tr w:rsidR="00173D5F" w:rsidRPr="006C5B44" w:rsidTr="00173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 При общей нагрузке (с участием мышц рук, корпуса, ног):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1.2.1. При перемещении груза на расстояние от 1 до 5 м</w:t>
            </w:r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12500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35000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35000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25000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1.2.2. При перемещении груза на расстояние более 5 м</w:t>
            </w:r>
          </w:p>
          <w:p w:rsidR="009F7C0B" w:rsidRPr="006C5B44" w:rsidRDefault="00173D5F" w:rsidP="009F7C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9F7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24000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46000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28000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70000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9F7C0B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олее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70000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40000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F7C0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2. Масса поднимаемого и перемещаемого груза вручную (</w:t>
            </w:r>
            <w:proofErr w:type="gramStart"/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кг</w:t>
            </w:r>
            <w:proofErr w:type="gramEnd"/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173D5F" w:rsidRPr="006C5B44" w:rsidTr="009F7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Подъем и перемещение (разовое) тяжести при чередовании с другой работой (до 2 раз в час):</w:t>
            </w:r>
          </w:p>
          <w:p w:rsidR="009F7C0B" w:rsidRPr="006C5B44" w:rsidRDefault="00173D5F" w:rsidP="009F7C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9F7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15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30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35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F7C0B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35</w:t>
            </w:r>
          </w:p>
          <w:p w:rsidR="00173D5F" w:rsidRPr="006C5B44" w:rsidRDefault="00173D5F" w:rsidP="009F7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12</w:t>
            </w:r>
          </w:p>
        </w:tc>
      </w:tr>
      <w:tr w:rsidR="00173D5F" w:rsidRPr="006C5B44" w:rsidTr="00BA6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 Подъем и перемещение (разовое)</w:t>
            </w:r>
            <w:r w:rsidR="00BA693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яжести постоянно в течение рабочей смены:</w:t>
            </w:r>
          </w:p>
          <w:p w:rsidR="00BA693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</w:t>
            </w:r>
          </w:p>
          <w:p w:rsidR="00173D5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15</w:t>
            </w:r>
          </w:p>
          <w:p w:rsidR="00173D5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</w:t>
            </w:r>
            <w:r w:rsidR="00BA693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:rsidR="00173D5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BA693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20</w:t>
            </w:r>
          </w:p>
          <w:p w:rsidR="00173D5F" w:rsidRPr="006C5B44" w:rsidRDefault="00173D5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</w:t>
            </w:r>
          </w:p>
        </w:tc>
      </w:tr>
      <w:tr w:rsidR="00BA693F" w:rsidRPr="006C5B44" w:rsidTr="00BA6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A693F" w:rsidRPr="006C5B44" w:rsidRDefault="00BA693F" w:rsidP="00BA6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2.3. Суммарная масса грузов, перемещаемых в течение каждого часа смены:</w:t>
            </w:r>
          </w:p>
        </w:tc>
      </w:tr>
      <w:tr w:rsidR="00173D5F" w:rsidRPr="006C5B44" w:rsidTr="00BA6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BA693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С рабочей поверхности</w:t>
            </w:r>
          </w:p>
          <w:p w:rsidR="00BA693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870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1500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1500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700</w:t>
            </w:r>
          </w:p>
        </w:tc>
      </w:tr>
      <w:tr w:rsidR="00173D5F" w:rsidRPr="006C5B44" w:rsidTr="00BA6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BA693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3.2. С пола</w:t>
            </w:r>
          </w:p>
          <w:p w:rsidR="00BA693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BA6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435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600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BA693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600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350</w:t>
            </w:r>
          </w:p>
        </w:tc>
      </w:tr>
      <w:tr w:rsidR="00173D5F" w:rsidRPr="006C5B44" w:rsidTr="00BA6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BA693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3. Стереотипные рабочие движения (количество за смену)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BA693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При локальной нагрузке</w:t>
            </w:r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 участием мышц кистей и пальцев</w:t>
            </w:r>
            <w:proofErr w:type="gramEnd"/>
          </w:p>
          <w:p w:rsidR="00173D5F" w:rsidRPr="006C5B44" w:rsidRDefault="00173D5F" w:rsidP="001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40 000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60 000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60 000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73D5F" w:rsidRPr="006C5B44" w:rsidRDefault="00BA693F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При региональной нагрузке 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pacing w:val="10"/>
                <w:sz w:val="24"/>
                <w:szCs w:val="24"/>
                <w:lang w:eastAsia="ru-RU"/>
              </w:rPr>
              <w:t>(при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работе с преимущественным 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тием мышц рук и плечевого пояса)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20 000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30 000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046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4. Статическая нагрузка - величина статической нагрузки за смену при удержании груза, приложении усилий (кгс)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FD1F30" w:rsidP="00173D5F">
            <w:pPr>
              <w:spacing w:after="0" w:line="20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Одной рукой:</w:t>
            </w:r>
          </w:p>
          <w:p w:rsidR="00173D5F" w:rsidRPr="006C5B44" w:rsidRDefault="00173D5F" w:rsidP="00173D5F">
            <w:pPr>
              <w:spacing w:after="0" w:line="20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173D5F">
            <w:pPr>
              <w:spacing w:after="0" w:line="20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18000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11 000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36000</w:t>
            </w:r>
          </w:p>
          <w:p w:rsidR="00173D5F" w:rsidRPr="006C5B44" w:rsidRDefault="00FD1F30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22 000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42 000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70000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42 000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D1F30" w:rsidRPr="006C5B44" w:rsidRDefault="00FD1F30" w:rsidP="00FD1F3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 Двумя руками:</w:t>
            </w:r>
          </w:p>
          <w:p w:rsidR="00173D5F" w:rsidRPr="006C5B44" w:rsidRDefault="00173D5F" w:rsidP="00FD1F3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FD1F30">
            <w:pPr>
              <w:spacing w:after="0" w:line="20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FD1F30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36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22 000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42000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140000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84000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140000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84000</w:t>
            </w:r>
          </w:p>
        </w:tc>
      </w:tr>
      <w:tr w:rsidR="00173D5F" w:rsidRPr="006C5B44" w:rsidTr="00FD1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D1F30" w:rsidRPr="006C5B44" w:rsidRDefault="00FD1F30" w:rsidP="00FD1F3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173D5F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С участием мышц корпуса и ног:</w:t>
            </w:r>
          </w:p>
          <w:p w:rsidR="00173D5F" w:rsidRPr="006C5B44" w:rsidRDefault="00173D5F" w:rsidP="00FD1F3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мужчин</w:t>
            </w:r>
          </w:p>
          <w:p w:rsidR="00173D5F" w:rsidRPr="006C5B44" w:rsidRDefault="00173D5F" w:rsidP="00FD1F30">
            <w:pPr>
              <w:spacing w:after="0" w:line="20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43</w:t>
            </w:r>
            <w:r w:rsidR="00FD1F30"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26 000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100000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60 000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D1F30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200000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120000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200000</w:t>
            </w:r>
          </w:p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120000</w:t>
            </w:r>
          </w:p>
        </w:tc>
      </w:tr>
      <w:tr w:rsidR="00173D5F" w:rsidRPr="006C5B44" w:rsidTr="00936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9360D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 Рабочая поза</w:t>
            </w:r>
          </w:p>
        </w:tc>
      </w:tr>
      <w:tr w:rsidR="00173D5F" w:rsidRPr="006C5B44" w:rsidTr="00936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9360DF">
            <w:pPr>
              <w:spacing w:after="0" w:line="21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5. Рабочая поза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7E0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Свободная, удобная поза, возможность смены рабочего положения тела (сидя, стоя). На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хождение в позе стоя до 40% времени смены.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6C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Периодиче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ское, до 25 % времени смены, нахождение в неудобной (работа с по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воротом ту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ловища, не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удобным размещением конечностей и др.) и/или фик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сированной позе</w:t>
            </w:r>
            <w:r w:rsidR="007E09AF"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(невоз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времени смены.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73D5F" w:rsidRPr="006C5B44" w:rsidRDefault="00173D5F" w:rsidP="006C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Периодиче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ское, до 50 % времени смены, на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хождение в неудобной и или фикси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 xml:space="preserve">рованной позе; пребывание в вынужденной позе (на коленях, на корточках и т. п.) до 25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времени смены. Нахождение в позе стоя до 80 % времени смены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73D5F" w:rsidRPr="006C5B44" w:rsidRDefault="00173D5F" w:rsidP="007E0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Периодическое, более 50% време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ни смены нахождение в неудобной и/</w:t>
            </w:r>
            <w:r w:rsidR="007E09AF"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или фиксированной позе; пребыв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ание в вынужденной позе (на коленях, на корточках и т. п.) более 25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%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вре</w:t>
            </w:r>
            <w:r w:rsidR="007E09AF"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мени смены. Нахожд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ение в по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зе стоя более 80 % времени смены.</w:t>
            </w:r>
          </w:p>
        </w:tc>
      </w:tr>
      <w:tr w:rsidR="006C5B44" w:rsidRPr="006C5B44" w:rsidTr="006C5B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C5B44" w:rsidRPr="006C5B44" w:rsidRDefault="006C5B44" w:rsidP="006C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 Наклоны корпуса</w:t>
            </w:r>
          </w:p>
        </w:tc>
      </w:tr>
      <w:tr w:rsidR="00173D5F" w:rsidRPr="006C5B44" w:rsidTr="007E0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Наклоны корпуса</w:t>
            </w:r>
            <w:r w:rsidR="007E09AF"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(вынужденные более 30 °), количество за смену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51—100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101—300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свыше 300</w:t>
            </w:r>
          </w:p>
        </w:tc>
      </w:tr>
      <w:tr w:rsidR="00173D5F" w:rsidRPr="006C5B44" w:rsidTr="007E0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7. Перемещения в пространстве, обусловленные технологическим процессом, </w:t>
            </w:r>
            <w:proofErr w:type="gramStart"/>
            <w:r w:rsidRPr="006C5B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км</w:t>
            </w:r>
            <w:proofErr w:type="gramEnd"/>
          </w:p>
        </w:tc>
      </w:tr>
      <w:tr w:rsidR="00173D5F" w:rsidRPr="006C5B44" w:rsidTr="007E0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173D5F">
            <w:pPr>
              <w:spacing w:after="0" w:line="21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7.1. По горизонтали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более 12</w:t>
            </w:r>
          </w:p>
        </w:tc>
      </w:tr>
      <w:tr w:rsidR="00173D5F" w:rsidRPr="006C5B44" w:rsidTr="007E0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173D5F">
            <w:pPr>
              <w:spacing w:after="0" w:line="21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7.2. По вертикали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2,5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3D5F" w:rsidRPr="006C5B44" w:rsidRDefault="00173D5F" w:rsidP="007E09AF">
            <w:pPr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более 5</w:t>
            </w:r>
          </w:p>
        </w:tc>
      </w:tr>
    </w:tbl>
    <w:p w:rsidR="00173D5F" w:rsidRDefault="00173D5F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84EED" w:rsidRDefault="00F84EED" w:rsidP="00F84EE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*Подъем и перемещение тяжести вручную женщинами за 1 раз не должно превышать при чередовании с другой работой – 15 кг, постоянно в течение смены -10 кг.</w:t>
      </w:r>
    </w:p>
    <w:p w:rsidR="00F84EED" w:rsidRDefault="00F84EED" w:rsidP="00F84E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55CB" w:rsidRDefault="000255CB" w:rsidP="00F84E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55CB" w:rsidRDefault="000255CB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255CB" w:rsidRDefault="000255CB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84EED" w:rsidRDefault="00F84EED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255CB" w:rsidRDefault="000255CB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01686" w:rsidRPr="00301686" w:rsidRDefault="00301686" w:rsidP="003016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27"/>
      <w:r w:rsidRPr="00301686">
        <w:rPr>
          <w:rFonts w:ascii="Times New Roman" w:hAnsi="Times New Roman" w:cs="Times New Roman"/>
          <w:b/>
          <w:sz w:val="28"/>
          <w:szCs w:val="28"/>
        </w:rPr>
        <w:lastRenderedPageBreak/>
        <w:t>Классы условий труда</w:t>
      </w:r>
      <w:bookmarkEnd w:id="1"/>
    </w:p>
    <w:p w:rsidR="00301686" w:rsidRPr="00301686" w:rsidRDefault="00301686" w:rsidP="003016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bookmark28"/>
      <w:r w:rsidRPr="00301686">
        <w:rPr>
          <w:rFonts w:ascii="Times New Roman" w:hAnsi="Times New Roman" w:cs="Times New Roman"/>
          <w:b/>
          <w:sz w:val="28"/>
          <w:szCs w:val="28"/>
        </w:rPr>
        <w:t>по показателям напряженности трудового процесса</w:t>
      </w:r>
      <w:bookmarkEnd w:id="2"/>
    </w:p>
    <w:p w:rsidR="00301686" w:rsidRPr="00301686" w:rsidRDefault="00301686" w:rsidP="003016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686" w:rsidRPr="00301686" w:rsidRDefault="00301686" w:rsidP="003016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046C8B">
        <w:rPr>
          <w:rFonts w:ascii="Times New Roman" w:hAnsi="Times New Roman" w:cs="Times New Roman"/>
          <w:b/>
          <w:sz w:val="28"/>
          <w:szCs w:val="28"/>
        </w:rPr>
        <w:t>2</w:t>
      </w:r>
    </w:p>
    <w:p w:rsidR="00301686" w:rsidRDefault="00301686" w:rsidP="003016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9"/>
        <w:gridCol w:w="13"/>
        <w:gridCol w:w="24"/>
        <w:gridCol w:w="1416"/>
        <w:gridCol w:w="535"/>
        <w:gridCol w:w="339"/>
        <w:gridCol w:w="576"/>
        <w:gridCol w:w="1387"/>
        <w:gridCol w:w="199"/>
        <w:gridCol w:w="64"/>
        <w:gridCol w:w="329"/>
        <w:gridCol w:w="1091"/>
        <w:gridCol w:w="80"/>
        <w:gridCol w:w="218"/>
        <w:gridCol w:w="1554"/>
      </w:tblGrid>
      <w:tr w:rsidR="00F84EED" w:rsidRPr="00046C8B" w:rsidTr="000654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Показатели напряженности трудового процесса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условий труда</w:t>
            </w:r>
          </w:p>
        </w:tc>
      </w:tr>
      <w:tr w:rsidR="00D7426B" w:rsidRPr="00046C8B" w:rsidTr="000654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0" w:type="auto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0255CB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Оптимальный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Допустимый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Вредный</w:t>
            </w:r>
          </w:p>
        </w:tc>
      </w:tr>
      <w:tr w:rsidR="00D7426B" w:rsidRPr="00046C8B" w:rsidTr="000654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0" w:type="auto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0255CB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Напряженность труда легкой степени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Напряженность труда средней степени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Напряженный труд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0" w:type="auto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0255CB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степени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степени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0" w:type="auto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0255CB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00C5" w:rsidRPr="000255CB" w:rsidRDefault="007900C5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</w:tr>
      <w:tr w:rsidR="000255CB" w:rsidRPr="000255CB" w:rsidTr="007900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255CB" w:rsidRPr="000255CB" w:rsidRDefault="000255CB" w:rsidP="007900C5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1. Интеллектуальные нагрузки: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1. Содержание работы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 необходимость принятия решения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простых задач по инструкции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слож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ных задач с вы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бором по из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вестным алго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ритмам (работа по серии ин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струкций)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Эвристическая (творческая) деятельность, требующая ре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шения алгорит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ма, единоличное руководство в сложных ситуациях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2. Восприятие сигналов (информации) и их оценка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Восприятие сигналов, но не требуется коррекция действий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Восприятие сигналов с последующей коррекцией действий и операций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Восприятие сигналов с последующим сопоставлени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 фактических значений параметров с их номинальными значениями. Заключительная оценка фактических значений параметров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Восприятие сигналов с по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следующей комплексной оценкой свя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занных пара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метров. Ком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плексная оценка всей производственной деятельности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.3.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Распределение функций 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степени сложно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задания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и выполнение задания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Обработка, выполнение задания и его проверка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Обработка, проверка и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выполнением задания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 и предваритель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ная работа по распределению заданий другим лицам.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Характер выполняемой работы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по индивидуальному плану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в условиях дефицита времени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в усло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виях дефицита времени и ин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формации с по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вышенной от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ветственностью за конечный результат</w:t>
            </w:r>
          </w:p>
        </w:tc>
      </w:tr>
      <w:tr w:rsidR="000255CB" w:rsidRPr="000255C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9694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2. Сенсорные нагрузки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Длительность сосредоточенного наблюдения (% времени смены)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26—50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51—75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75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254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2.2.Плотность сигналов (световых, звуковых) и сообщений в среднем за 1 час работы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75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76—175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176—300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300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2.3.Число производственных объектов одновременного наблюдения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6—10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11—25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25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0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A90C72" w:rsidRPr="000255CB" w:rsidRDefault="00A90C72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2.4. Размер объекта различения (при расстоянии от глаз работающего до объекта различения не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более 0,5 м) в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длительности сосредоточенного наблюдения (% времени смены)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5 мм -</w:t>
            </w:r>
          </w:p>
          <w:p w:rsidR="00A90C72" w:rsidRPr="000255C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5—1,1 м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м-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более 50 </w:t>
            </w:r>
            <w:r w:rsidRPr="000255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%;</w:t>
            </w:r>
          </w:p>
          <w:p w:rsidR="00A90C72" w:rsidRPr="000255C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1—0,3 мм</w:t>
            </w:r>
          </w:p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50 %;</w:t>
            </w:r>
          </w:p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0C72" w:rsidRPr="000255C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0,3 мм - до 25 %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46C8B" w:rsidRDefault="00A90C72" w:rsidP="00A90C72">
            <w:pPr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1—0,3 мм - более 50 %;</w:t>
            </w:r>
          </w:p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0,3 мм -</w:t>
            </w:r>
          </w:p>
          <w:p w:rsidR="00A90C72" w:rsidRPr="000255C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26—50 %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0C72" w:rsidRPr="00046C8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0,3 мм -</w:t>
            </w:r>
          </w:p>
          <w:p w:rsidR="00A90C72" w:rsidRPr="000255CB" w:rsidRDefault="00A90C72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50 %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2.5. Работа с оптически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ми приборами (микро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скопы, лупы и т.п.) при длительности сосредоточенного наблюдения (% времени смены)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26—50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51—75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75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EE4CFA" w:rsidRPr="00046C8B" w:rsidRDefault="002544B1" w:rsidP="00EE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.</w:t>
            </w:r>
            <w:r w:rsidR="00EE4CFA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Наблюдение за экранами видеотерминалов (часов в смену)</w:t>
            </w:r>
            <w:r w:rsidR="00A90C72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EE4CFA" w:rsidRPr="00046C8B" w:rsidRDefault="00EE4CFA" w:rsidP="00EE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буквенно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цифровом типе отображения информации:</w:t>
            </w:r>
          </w:p>
          <w:p w:rsidR="002544B1" w:rsidRPr="000255CB" w:rsidRDefault="00EE4CFA" w:rsidP="00EE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графическом типе отображения информации: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</w:t>
            </w: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255C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д</w:t>
            </w:r>
            <w:r w:rsidRPr="000255C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о</w:t>
            </w:r>
            <w:r w:rsidRPr="00046C8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З</w:t>
            </w:r>
            <w:proofErr w:type="gramEnd"/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д</w:t>
            </w:r>
            <w:r w:rsidRPr="000255C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о</w:t>
            </w:r>
            <w:r w:rsidRPr="00046C8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З</w:t>
            </w:r>
            <w:proofErr w:type="gramEnd"/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</w:pPr>
          </w:p>
          <w:p w:rsidR="00EE4CFA" w:rsidRPr="000255CB" w:rsidRDefault="00EE4CFA" w:rsidP="00EE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544B1" w:rsidRPr="00046C8B" w:rsidRDefault="002544B1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4</w:t>
            </w: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255C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544B1" w:rsidRPr="00046C8B" w:rsidRDefault="002544B1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</w:t>
            </w: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46C8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E4CFA" w:rsidRPr="000255CB" w:rsidRDefault="00EE4CFA" w:rsidP="00254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6</w:t>
            </w:r>
          </w:p>
        </w:tc>
      </w:tr>
      <w:tr w:rsidR="00046C8B" w:rsidRPr="00046C8B" w:rsidTr="00D06A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0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A90C72" w:rsidRPr="000255CB" w:rsidRDefault="00A90C72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2.7. Нагрузка на слуховой анализатор (при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производственной необходимости восприятия речи или дифференцированных сигналов)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Разборчивость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 и сигналов от 100 до 90 %.</w:t>
            </w:r>
          </w:p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Помехи отсутствуют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46C8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Разборчивость</w:t>
            </w:r>
          </w:p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 и сигналов от 90 до 70 %. Имеются помехи, на фо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не которых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речь слышна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|на расстоянии до 3,5 м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Разборчивость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 и сигналов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70 до 50 %.</w:t>
            </w:r>
          </w:p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Имеются 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омехи, на фоне которых речь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слышна на расстоянии до 2 м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0C72" w:rsidRPr="00046C8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Разборчивость</w:t>
            </w:r>
          </w:p>
          <w:p w:rsidR="00A90C72" w:rsidRPr="00046C8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 и сигналов</w:t>
            </w:r>
          </w:p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50 %</w:t>
            </w:r>
          </w:p>
          <w:p w:rsidR="00A90C72" w:rsidRPr="000255CB" w:rsidRDefault="00A90C72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Имеются поме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хи, на фоне которых речь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слышна на рас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стоянии до 1,5 м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/>
        </w:trPr>
        <w:tc>
          <w:tcPr>
            <w:tcW w:w="2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2.8. Нагрузка на голосовой аппарат (суммарное количество часов, наговариваемое в неделю)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16</w:t>
            </w:r>
          </w:p>
        </w:tc>
        <w:tc>
          <w:tcPr>
            <w:tcW w:w="2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20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A9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25</w:t>
            </w:r>
          </w:p>
        </w:tc>
      </w:tr>
      <w:tr w:rsidR="000255CB" w:rsidRPr="000255C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9694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3. Эмоциональные нагрузки</w:t>
            </w:r>
          </w:p>
        </w:tc>
      </w:tr>
      <w:tr w:rsidR="00D7426B" w:rsidRPr="00046C8B" w:rsidTr="00F84E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D7426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 .Степень ответственности за резуль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тат соб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ственной деятельности. 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Значимость ошибки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7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Несет ответственность за выполнение отдельных элементов за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7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водства (бригадира, мастера и т. п.)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D7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Несет ответственность за функциональное качество основной работы</w:t>
            </w:r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(задания). Влечет за собой исправления за счет дополн</w:t>
            </w:r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ительных усилий всего коллекти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 (группы,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бригады и т. п.)</w:t>
            </w:r>
          </w:p>
        </w:tc>
        <w:tc>
          <w:tcPr>
            <w:tcW w:w="16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255CB" w:rsidRPr="000255CB" w:rsidRDefault="000255CB" w:rsidP="00D7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Несет ответственность за функциональное качество конечной продукции, работы, задания. Влечет за собой повреждение оборудования, остановку техноло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гического процесса и может возникнуть опасность для жизни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255CB" w:rsidRPr="000255CB" w:rsidRDefault="000255CB" w:rsidP="00025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3.2. Степень риска для собственной жизни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Исключена</w:t>
            </w: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Вероятна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3,3. Степень ответственности за безопасность других лиц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Исключена</w:t>
            </w: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Возможна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/>
        </w:trPr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3.4. Количество конфликтных ситуаций, обу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ловленных профессиональной деятельностью, 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смену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1—3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4—8</w:t>
            </w:r>
          </w:p>
        </w:tc>
        <w:tc>
          <w:tcPr>
            <w:tcW w:w="16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8</w:t>
            </w:r>
          </w:p>
        </w:tc>
      </w:tr>
      <w:tr w:rsidR="000255CB" w:rsidRPr="000255C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694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4. Монотонность нагрузок</w:t>
            </w:r>
          </w:p>
        </w:tc>
      </w:tr>
      <w:tr w:rsidR="00D06A3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7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Число элементов (приемов), 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еобходимых д</w:t>
            </w:r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реализации простого 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ния или 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многократно повторяющихся операциях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9—6</w:t>
            </w:r>
          </w:p>
        </w:tc>
        <w:tc>
          <w:tcPr>
            <w:tcW w:w="18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5—3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3</w:t>
            </w:r>
          </w:p>
        </w:tc>
      </w:tr>
      <w:tr w:rsidR="00D06A3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E47084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родолжительность</w:t>
            </w:r>
            <w:r w:rsidR="00D06A3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Start"/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сек</w:t>
            </w:r>
            <w:proofErr w:type="gramEnd"/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выполнения про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изводственны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 заданий или повтор</w:t>
            </w:r>
            <w:r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0255CB"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ющихся операций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100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100—25</w:t>
            </w:r>
          </w:p>
        </w:tc>
        <w:tc>
          <w:tcPr>
            <w:tcW w:w="18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24—10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10</w:t>
            </w:r>
          </w:p>
        </w:tc>
      </w:tr>
      <w:tr w:rsidR="00D7426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D7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3. Время активных дей</w:t>
            </w:r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ствий (</w:t>
            </w:r>
            <w:proofErr w:type="gramStart"/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% </w:t>
            </w:r>
            <w:proofErr w:type="gramStart"/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продолжитель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ности смены). В ос</w:t>
            </w:r>
            <w:r w:rsidR="00D7426B" w:rsidRPr="0004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таль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ное время - наблюдение за ходом производственного процесса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и более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19—10</w:t>
            </w:r>
          </w:p>
        </w:tc>
        <w:tc>
          <w:tcPr>
            <w:tcW w:w="18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9—5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7426B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5</w:t>
            </w:r>
          </w:p>
        </w:tc>
      </w:tr>
      <w:tr w:rsidR="00F84EED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4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D0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4.4. Монотонность про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изводственной обстановки (время пассивного наблюдения за ходом техпроцесса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255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%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времени смены)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75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76—80</w:t>
            </w:r>
          </w:p>
        </w:tc>
        <w:tc>
          <w:tcPr>
            <w:tcW w:w="18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81—90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90</w:t>
            </w:r>
          </w:p>
        </w:tc>
      </w:tr>
      <w:tr w:rsidR="000255CB" w:rsidRPr="000255C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694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5. Режим работы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255CB" w:rsidRPr="000255CB" w:rsidRDefault="000255CB" w:rsidP="0004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5.1. Фактическая продолжительность рабочего дня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6—7 ч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8—9 ч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10—12ч</w:t>
            </w:r>
          </w:p>
        </w:tc>
        <w:tc>
          <w:tcPr>
            <w:tcW w:w="32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12 ч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5.2. Сменность работы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046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Односменная работа (без ночной смены)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Двухсменная работа (без ночной смены)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E47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Трехсменная работ</w:t>
            </w:r>
            <w:proofErr w:type="gramStart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а(</w:t>
            </w:r>
            <w:proofErr w:type="gramEnd"/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в ночную смену)</w:t>
            </w:r>
          </w:p>
        </w:tc>
        <w:tc>
          <w:tcPr>
            <w:tcW w:w="32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Нерегулярная сменность с работой в ночное время</w:t>
            </w:r>
          </w:p>
        </w:tc>
      </w:tr>
      <w:tr w:rsidR="00046C8B" w:rsidRPr="00046C8B" w:rsidTr="00D74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4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Перерывы ре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гламентированы, достаточной продолжитель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ности: 7 % и более рабочего времени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Перерывы регламентиро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ваны, недоста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точной про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должительности: от 3 до 7 </w:t>
            </w:r>
            <w:r w:rsidRPr="000255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%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рабочего времени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255CB" w:rsidRPr="000255CB" w:rsidRDefault="000255CB" w:rsidP="00F84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Перерывы не регламентированы и недоста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точной продол</w:t>
            </w: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жительности: до 3 % рабочего времени</w:t>
            </w:r>
          </w:p>
        </w:tc>
        <w:tc>
          <w:tcPr>
            <w:tcW w:w="3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CB" w:rsidRPr="000255CB" w:rsidRDefault="000255CB" w:rsidP="00D0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Перерывы отсутствуют</w:t>
            </w:r>
          </w:p>
        </w:tc>
      </w:tr>
    </w:tbl>
    <w:p w:rsidR="00D06A3B" w:rsidRDefault="00D06A3B" w:rsidP="000255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bookmarkStart w:id="3" w:name="bookmark0"/>
    </w:p>
    <w:p w:rsidR="000255CB" w:rsidRPr="000255CB" w:rsidRDefault="000255CB" w:rsidP="00F84E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гигиеническая оценка условий труда</w:t>
      </w:r>
      <w:bookmarkEnd w:id="3"/>
    </w:p>
    <w:p w:rsidR="000255CB" w:rsidRPr="000255CB" w:rsidRDefault="000255CB" w:rsidP="00F84EE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Условия труда на рабочем месте отвечают гигиеническим требованиям и относятся к 1 или 2 классу, если фактические значения </w:t>
      </w:r>
      <w:r w:rsidR="00CA4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показателей </w:t>
      </w:r>
      <w:r w:rsidR="00CA4386">
        <w:rPr>
          <w:rFonts w:ascii="Times New Roman" w:hAnsi="Times New Roman" w:cs="Times New Roman"/>
          <w:sz w:val="28"/>
          <w:szCs w:val="28"/>
        </w:rPr>
        <w:t xml:space="preserve">состояния условий и характера труда </w:t>
      </w:r>
      <w:r w:rsidRPr="00025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находятся в пределах оптимальных или допустимых величин соответственно. Если хотя бы </w:t>
      </w:r>
      <w:r w:rsidR="00CA4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r w:rsidRPr="00025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одного </w:t>
      </w:r>
      <w:r w:rsidR="00CA4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показателей </w:t>
      </w:r>
      <w:r w:rsidRPr="00025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превышает допустимую величину, то условия труда на таком рабочем месте, в зависимости от величины превышения, могут быть отнесены к 1—4 степеням 3 класса вредных или 4 классу опасных условий труда.</w:t>
      </w:r>
    </w:p>
    <w:p w:rsidR="00CA4386" w:rsidRDefault="000255CB" w:rsidP="00CA438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оценки факторов трудового процесса </w:t>
      </w:r>
      <w:r w:rsidR="00CA4386">
        <w:rPr>
          <w:rFonts w:ascii="Times New Roman" w:hAnsi="Times New Roman" w:cs="Times New Roman"/>
          <w:sz w:val="28"/>
          <w:szCs w:val="28"/>
        </w:rPr>
        <w:t>отражают в карте</w:t>
      </w:r>
      <w:r w:rsidR="00CA4386">
        <w:rPr>
          <w:rFonts w:ascii="Times New Roman" w:hAnsi="Times New Roman" w:cs="Times New Roman"/>
          <w:sz w:val="28"/>
          <w:szCs w:val="28"/>
        </w:rPr>
        <w:t xml:space="preserve"> условий труда на рабочем месте</w:t>
      </w:r>
      <w:r w:rsidR="00C15C3E">
        <w:rPr>
          <w:rFonts w:ascii="Times New Roman" w:hAnsi="Times New Roman" w:cs="Times New Roman"/>
          <w:sz w:val="28"/>
          <w:szCs w:val="28"/>
        </w:rPr>
        <w:t xml:space="preserve"> (табл.3)</w:t>
      </w:r>
      <w:r w:rsidR="00CA4386">
        <w:rPr>
          <w:rFonts w:ascii="Times New Roman" w:hAnsi="Times New Roman" w:cs="Times New Roman"/>
          <w:sz w:val="28"/>
          <w:szCs w:val="28"/>
        </w:rPr>
        <w:t>.</w:t>
      </w:r>
    </w:p>
    <w:p w:rsidR="00CA4386" w:rsidRDefault="00CA4386" w:rsidP="00CA438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Степень вредности факторов производственной среды и тяжести работ устанавливается в баллах по критериям, приведенным в гигиенической классификации труда.</w:t>
      </w:r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баллов по каждому значимому фактору проставляется в карте условий труда. При этом для оценки влияния данного фактора на состояние условий труда учитывается продолжительность его действия в течение смены. Баллы, установленные по степеням вредности факторов и тяжести работ, корректируются по формуле:</w:t>
      </w:r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*Т</m:t>
          </m:r>
        </m:oMath>
      </m:oMathPara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и характер труда для определения конкретных размеров доплат оцениваются по сумме значений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доплат в зависимости от фактического состояния условий труда устанавливаются руководителями предприятий и организаций по согласованию с профсоюзным комитетом по следующей шкале: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2526"/>
        <w:gridCol w:w="3302"/>
      </w:tblGrid>
      <w:tr w:rsidR="00F84EED" w:rsidTr="00F84EE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факт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Размеры доплаты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 к тарифной ставке (окладу)</w:t>
            </w:r>
          </w:p>
        </w:tc>
      </w:tr>
      <w:tr w:rsidR="00F84EED" w:rsidTr="00F84EED"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работах с тяжелыми и вредными условиями труда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2-х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84EED" w:rsidTr="00F84E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– 4.0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84EED" w:rsidTr="00F84E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– 6.0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84EED" w:rsidTr="00F84EED"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особо тяжелыми и особо вредными условиями труда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– 8.0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84EED" w:rsidTr="00F84E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8.1 -10.0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84EED" w:rsidTr="00F84E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10.0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EED" w:rsidRDefault="00F84E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F84EED" w:rsidRDefault="00F84EED" w:rsidP="00F84E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76D3" w:rsidRDefault="003A76D3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D3" w:rsidRDefault="003A76D3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D3" w:rsidRPr="00C64C67" w:rsidRDefault="003A76D3" w:rsidP="003A76D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C67">
        <w:rPr>
          <w:rFonts w:ascii="Times New Roman" w:hAnsi="Times New Roman" w:cs="Times New Roman"/>
          <w:b/>
          <w:sz w:val="28"/>
          <w:szCs w:val="28"/>
        </w:rPr>
        <w:lastRenderedPageBreak/>
        <w:t>КАРТА УСЛОВИЙ ТРУДА НА РАБОЧЕМ МЕСТЕ</w:t>
      </w:r>
    </w:p>
    <w:p w:rsidR="003A76D3" w:rsidRPr="00966445" w:rsidRDefault="003A76D3" w:rsidP="003A76D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C15C3E">
        <w:rPr>
          <w:rFonts w:ascii="Times New Roman" w:hAnsi="Times New Roman" w:cs="Times New Roman"/>
          <w:sz w:val="28"/>
          <w:szCs w:val="28"/>
        </w:rPr>
        <w:t>3</w:t>
      </w:r>
    </w:p>
    <w:p w:rsidR="006900BF" w:rsidRDefault="003A76D3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1706A2" wp14:editId="266661E0">
            <wp:extent cx="6152515" cy="65252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Pr="009F169D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Сумма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значений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 (Х</w:t>
      </w:r>
      <w:r w:rsidRPr="009F169D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 w:rsidRPr="00966445">
        <w:rPr>
          <w:rFonts w:ascii="Times New Roman" w:hAnsi="Times New Roman" w:cs="Times New Roman"/>
          <w:sz w:val="28"/>
          <w:szCs w:val="28"/>
        </w:rPr>
        <w:t>), баллов</w:t>
      </w:r>
      <w:r w:rsidR="009F169D" w:rsidRPr="009F169D">
        <w:rPr>
          <w:rFonts w:ascii="Times New Roman" w:hAnsi="Times New Roman" w:cs="Times New Roman"/>
          <w:sz w:val="28"/>
          <w:szCs w:val="28"/>
        </w:rPr>
        <w:t>__________</w:t>
      </w:r>
    </w:p>
    <w:sectPr w:rsidR="009F169D" w:rsidRPr="009F169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BDA5DAD"/>
    <w:multiLevelType w:val="hybridMultilevel"/>
    <w:tmpl w:val="73367F82"/>
    <w:lvl w:ilvl="0" w:tplc="C0FC18C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537"/>
    <w:multiLevelType w:val="hybridMultilevel"/>
    <w:tmpl w:val="C8B66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34547"/>
    <w:multiLevelType w:val="hybridMultilevel"/>
    <w:tmpl w:val="0CE86F4A"/>
    <w:lvl w:ilvl="0" w:tplc="798C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4F322F"/>
    <w:multiLevelType w:val="multilevel"/>
    <w:tmpl w:val="F1CA853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F4"/>
    <w:rsid w:val="000255CB"/>
    <w:rsid w:val="00046C8B"/>
    <w:rsid w:val="000C0EF0"/>
    <w:rsid w:val="001624F4"/>
    <w:rsid w:val="00173D5F"/>
    <w:rsid w:val="001C5620"/>
    <w:rsid w:val="001F2B52"/>
    <w:rsid w:val="00231C78"/>
    <w:rsid w:val="00246F13"/>
    <w:rsid w:val="002544B1"/>
    <w:rsid w:val="00254C3D"/>
    <w:rsid w:val="002637E8"/>
    <w:rsid w:val="00263D4F"/>
    <w:rsid w:val="00301686"/>
    <w:rsid w:val="003A76D3"/>
    <w:rsid w:val="003F62AC"/>
    <w:rsid w:val="0040201A"/>
    <w:rsid w:val="00464AA2"/>
    <w:rsid w:val="004650C6"/>
    <w:rsid w:val="004737CD"/>
    <w:rsid w:val="00533C2B"/>
    <w:rsid w:val="00574B60"/>
    <w:rsid w:val="005C6AF9"/>
    <w:rsid w:val="005E1F69"/>
    <w:rsid w:val="00640F8B"/>
    <w:rsid w:val="006900BF"/>
    <w:rsid w:val="006C5B44"/>
    <w:rsid w:val="006D49EB"/>
    <w:rsid w:val="006D6745"/>
    <w:rsid w:val="00705EF4"/>
    <w:rsid w:val="007264CB"/>
    <w:rsid w:val="0073128D"/>
    <w:rsid w:val="007900C5"/>
    <w:rsid w:val="007A232E"/>
    <w:rsid w:val="007A69A3"/>
    <w:rsid w:val="007B1142"/>
    <w:rsid w:val="007C2D0A"/>
    <w:rsid w:val="007E09AF"/>
    <w:rsid w:val="00886E9B"/>
    <w:rsid w:val="008A34E3"/>
    <w:rsid w:val="009360DF"/>
    <w:rsid w:val="00966445"/>
    <w:rsid w:val="009F169D"/>
    <w:rsid w:val="009F7C0B"/>
    <w:rsid w:val="00A062F5"/>
    <w:rsid w:val="00A51336"/>
    <w:rsid w:val="00A5541E"/>
    <w:rsid w:val="00A8547D"/>
    <w:rsid w:val="00A90C72"/>
    <w:rsid w:val="00B953E1"/>
    <w:rsid w:val="00BA693F"/>
    <w:rsid w:val="00C15C3E"/>
    <w:rsid w:val="00C2706E"/>
    <w:rsid w:val="00C64C67"/>
    <w:rsid w:val="00CA4386"/>
    <w:rsid w:val="00CC77EA"/>
    <w:rsid w:val="00D06A3B"/>
    <w:rsid w:val="00D33D8F"/>
    <w:rsid w:val="00D7426B"/>
    <w:rsid w:val="00E47084"/>
    <w:rsid w:val="00ED05BD"/>
    <w:rsid w:val="00EE4CFA"/>
    <w:rsid w:val="00F84EE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17</Pages>
  <Words>3702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11</cp:revision>
  <dcterms:created xsi:type="dcterms:W3CDTF">2020-10-19T09:21:00Z</dcterms:created>
  <dcterms:modified xsi:type="dcterms:W3CDTF">2020-10-29T20:39:00Z</dcterms:modified>
</cp:coreProperties>
</file>