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A20" w:rsidRDefault="003B5F9C">
      <w:pPr>
        <w:rPr>
          <w:rFonts w:ascii="Arial" w:hAnsi="Arial"/>
          <w:color w:val="000000"/>
          <w:sz w:val="52"/>
        </w:rPr>
      </w:pPr>
      <w:bookmarkStart w:id="0" w:name="docs-internal-guid-712bd0e3-7fff-5099-84"/>
      <w:bookmarkEnd w:id="0"/>
      <w:r>
        <w:rPr>
          <w:rFonts w:ascii="Arial" w:hAnsi="Arial"/>
          <w:color w:val="000000"/>
          <w:sz w:val="52"/>
        </w:rPr>
        <w:t xml:space="preserve">Алгоритм объединения вершин в </w:t>
      </w:r>
      <w:proofErr w:type="spellStart"/>
      <w:r>
        <w:rPr>
          <w:rFonts w:ascii="Arial" w:hAnsi="Arial"/>
          <w:color w:val="000000"/>
          <w:sz w:val="52"/>
        </w:rPr>
        <w:t>метавершину</w:t>
      </w:r>
      <w:proofErr w:type="spellEnd"/>
      <w:r>
        <w:rPr>
          <w:rFonts w:ascii="Arial" w:hAnsi="Arial"/>
          <w:color w:val="000000"/>
          <w:sz w:val="52"/>
        </w:rPr>
        <w:t xml:space="preserve"> в </w:t>
      </w:r>
      <w:proofErr w:type="spellStart"/>
      <w:r>
        <w:rPr>
          <w:rFonts w:ascii="Arial" w:hAnsi="Arial"/>
          <w:color w:val="000000"/>
          <w:sz w:val="52"/>
        </w:rPr>
        <w:t>моделе</w:t>
      </w:r>
      <w:proofErr w:type="spellEnd"/>
      <w:r>
        <w:rPr>
          <w:rFonts w:ascii="Arial" w:hAnsi="Arial"/>
          <w:color w:val="000000"/>
          <w:sz w:val="52"/>
        </w:rPr>
        <w:t xml:space="preserve"> </w:t>
      </w:r>
      <w:proofErr w:type="spellStart"/>
      <w:r>
        <w:rPr>
          <w:rFonts w:ascii="Arial" w:hAnsi="Arial"/>
          <w:color w:val="000000"/>
          <w:sz w:val="52"/>
        </w:rPr>
        <w:t>метаграфа</w:t>
      </w:r>
      <w:proofErr w:type="spellEnd"/>
      <w:r>
        <w:rPr>
          <w:rFonts w:ascii="Arial" w:hAnsi="Arial"/>
          <w:color w:val="000000"/>
          <w:sz w:val="52"/>
        </w:rPr>
        <w:t xml:space="preserve"> на основе нейронной сети </w:t>
      </w:r>
      <w:proofErr w:type="spellStart"/>
      <w:r>
        <w:rPr>
          <w:rFonts w:ascii="Arial" w:hAnsi="Arial"/>
          <w:color w:val="000000"/>
          <w:sz w:val="52"/>
        </w:rPr>
        <w:t>Хопфилда</w:t>
      </w:r>
      <w:proofErr w:type="spellEnd"/>
      <w:r>
        <w:rPr>
          <w:rFonts w:ascii="Arial" w:hAnsi="Arial"/>
          <w:color w:val="000000"/>
          <w:sz w:val="52"/>
        </w:rPr>
        <w:t>.</w:t>
      </w:r>
    </w:p>
    <w:p w:rsidR="00317A20" w:rsidRDefault="003B5F9C">
      <w:pPr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7A20" w:rsidRDefault="003B5F9C">
      <w:pPr>
        <w:pStyle w:val="Heading1"/>
      </w:pPr>
      <w:r>
        <w:t>Введение</w:t>
      </w:r>
    </w:p>
    <w:p w:rsidR="00317A20" w:rsidRDefault="003B5F9C">
      <w:pPr>
        <w:spacing w:line="276" w:lineRule="auto"/>
        <w:ind w:firstLine="851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Здравствуйте, уважаемые слушатели! Тема моего доклада — алгоритм объединения вершин в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метавершину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моделе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метаграфа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основе нейронной сети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Хопфилда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17A20" w:rsidRDefault="003B5F9C">
      <w:pPr>
        <w:pStyle w:val="Heading1"/>
      </w:pPr>
      <w:proofErr w:type="spellStart"/>
      <w:r>
        <w:t>Метаграфовая</w:t>
      </w:r>
      <w:proofErr w:type="spellEnd"/>
      <w:r>
        <w:t xml:space="preserve"> модель</w:t>
      </w:r>
    </w:p>
    <w:p w:rsidR="00317A20" w:rsidRDefault="003B5F9C">
      <w:pPr>
        <w:spacing w:line="276" w:lineRule="auto"/>
        <w:ind w:firstLine="851"/>
        <w:jc w:val="both"/>
        <w:rPr>
          <w:rFonts w:ascii="Times New Roman" w:hAnsi="Times New Roman"/>
          <w:color w:val="000000"/>
          <w:sz w:val="28"/>
        </w:rPr>
      </w:pPr>
      <w:bookmarkStart w:id="1" w:name="docs-internal-guid-0e5110d3-7fff-ea85-ca"/>
      <w:bookmarkEnd w:id="1"/>
      <w:r>
        <w:rPr>
          <w:rFonts w:ascii="Times New Roman" w:eastAsia="Calibri" w:hAnsi="Times New Roman" w:cs="Times New Roman"/>
          <w:color w:val="000000"/>
          <w:sz w:val="28"/>
          <w:szCs w:val="28"/>
        </w:rPr>
        <w:t>В настоящее время все большее применение находят модели на основе сложных сетей. Их используют как в технических науках, так и в естественных.</w:t>
      </w:r>
    </w:p>
    <w:p w:rsidR="00317A20" w:rsidRDefault="003B5F9C">
      <w:pPr>
        <w:spacing w:line="276" w:lineRule="auto"/>
        <w:ind w:firstLine="851"/>
        <w:jc w:val="both"/>
        <w:rPr>
          <w:rFonts w:ascii="Times New Roman" w:hAnsi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Метаграфовая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модель представляет собой разновидность сложной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графовой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модели с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эмер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джентностью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:rsidR="00317A20" w:rsidRDefault="003B5F9C">
      <w:pPr>
        <w:spacing w:line="276" w:lineRule="auto"/>
        <w:ind w:firstLine="851"/>
        <w:jc w:val="both"/>
        <w:rPr>
          <w:rFonts w:ascii="Times New Roman" w:hAnsi="Times New Roman"/>
          <w:color w:val="000000"/>
          <w:sz w:val="28"/>
        </w:rPr>
      </w:pPr>
      <w:bookmarkStart w:id="2" w:name="docs-internal-guid-ede735de-7fff-1c7d-b7"/>
      <w:bookmarkStart w:id="3" w:name="docs-internal-guid-751cf8fa-7fff-2c07-be"/>
      <w:bookmarkEnd w:id="2"/>
      <w:bookmarkEnd w:id="3"/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это наиболее значимый элемент модели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метаграфа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, помимо атрибутов, он</w:t>
      </w:r>
      <w:r w:rsidR="00AD27A5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может включать в себя ряд элементов более низкого уровня и, в свою очередь, может быть включена в ряд элементов более высокого уровня. </w:t>
      </w:r>
    </w:p>
    <w:p w:rsidR="00317A20" w:rsidRDefault="003B5F9C">
      <w:pPr>
        <w:spacing w:line="276" w:lineRule="auto"/>
        <w:ind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Разработка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метаграфа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знаний вручную — это трудо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емкая задача, которая может потребовать значительных людских ресурсов. Таким образом, эта задача требует автоматизации.</w:t>
      </w:r>
    </w:p>
    <w:p w:rsidR="00317A20" w:rsidRDefault="003B5F9C">
      <w:pPr>
        <w:pStyle w:val="Heading1"/>
      </w:pPr>
      <w:r>
        <w:t xml:space="preserve">Нейронная сеть </w:t>
      </w:r>
      <w:proofErr w:type="spellStart"/>
      <w:r>
        <w:t>Хопфилда</w:t>
      </w:r>
      <w:proofErr w:type="spellEnd"/>
    </w:p>
    <w:p w:rsidR="00317A20" w:rsidRDefault="003B5F9C" w:rsidP="00373E03">
      <w:pPr>
        <w:ind w:firstLine="851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Нейронная сеть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Хопфилда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— это разновидность рекуррентной нейронной сети, которая реализует ассоциативную память.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Нейронная сеть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Хопфилда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сконструирована таким образом, что ее реакция на запоминаемые эталонные “образы” состоит из самих этих образов. </w:t>
      </w:r>
    </w:p>
    <w:p w:rsidR="00317A20" w:rsidRDefault="003B5F9C">
      <w:pPr>
        <w:ind w:firstLine="851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Предлагается рассматривать устойчивое изображение в сети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Хопфилда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как аттрактор в произвольном пространстве состояний.</w:t>
      </w:r>
    </w:p>
    <w:p w:rsidR="00317A20" w:rsidRDefault="003B5F9C">
      <w:pPr>
        <w:ind w:firstLine="851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Если входное изображение не может быть отнесено к одному из эталонных изображений, сеть может сгенерировать новые изоб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ражения, которые похожи на несколько эталонных изображений одновременно, но не являются ни одним из них. Изображения, созданные таким образом, называются ложными паттернами или химерами.</w:t>
      </w:r>
    </w:p>
    <w:p w:rsidR="00317A20" w:rsidRDefault="003B5F9C">
      <w:pPr>
        <w:ind w:firstLine="851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Эта особенность может быть использована при составлении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метаграфа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17A20" w:rsidRDefault="003B5F9C">
      <w:pPr>
        <w:pStyle w:val="Heading1"/>
      </w:pPr>
      <w:r>
        <w:t>Ал</w:t>
      </w:r>
      <w:r>
        <w:t>горитм объединения</w:t>
      </w:r>
    </w:p>
    <w:p w:rsidR="00C05C9C" w:rsidRDefault="003B5F9C">
      <w:pPr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удобства объяснения нашего подхода под термином “вершина-узел” будем понимать любую вершину или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метавершину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которые уже существуют в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метаграфе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:rsidR="00317A20" w:rsidRDefault="003B5F9C">
      <w:pPr>
        <w:ind w:firstLine="851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Чтобы построить алгоритм, нам нужно представить каждую вершину-узел в виде набора признаков. </w:t>
      </w:r>
      <w:r w:rsidR="00233DC9">
        <w:rPr>
          <w:rFonts w:ascii="Times New Roman" w:eastAsia="Calibri" w:hAnsi="Times New Roman" w:cs="Times New Roman"/>
          <w:color w:val="000000"/>
          <w:sz w:val="28"/>
          <w:szCs w:val="28"/>
        </w:rPr>
        <w:t>Признак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может быть атрибутом, принадлежащим вершине, вложенной вершине или вложенн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ому ребру. </w:t>
      </w:r>
      <w:r w:rsidR="00C05C9C">
        <w:rPr>
          <w:rFonts w:ascii="Times New Roman" w:eastAsia="Calibri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начения признаков 1 и 0 кодируют, соответственно, наличие или отсутствие вложенного атрибута, вершины или ребра в вершине-узле.</w:t>
      </w:r>
    </w:p>
    <w:p w:rsidR="00317A20" w:rsidRDefault="003B5F9C">
      <w:pPr>
        <w:ind w:firstLine="851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Мы можем представить каждую вершину-узел в виде двоичного вектора в пространстве призн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аков, с которым может работать сеть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Хопфилда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17A20" w:rsidRDefault="003B5F9C">
      <w:pPr>
        <w:ind w:firstLine="851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Принцип работы алгоритма заключается в следующем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[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исунок 1] Обучим нейронную сеть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Хопфилда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всех вершинах-узлах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метаграфа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. После этого  передаем ей для распознавания новую вершину-узел.</w:t>
      </w:r>
    </w:p>
    <w:p w:rsidR="00317A20" w:rsidRDefault="003B5F9C">
      <w:pPr>
        <w:ind w:firstLine="851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результате распозн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авания могут возникнуть два случая. В первом случае нейронная сеть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Хопфилда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возвращает ложный паттерн. То есть д</w:t>
      </w:r>
      <w:r w:rsidR="00373E03">
        <w:rPr>
          <w:rFonts w:ascii="Times New Roman" w:eastAsia="Calibri" w:hAnsi="Times New Roman" w:cs="Times New Roman"/>
          <w:color w:val="000000"/>
          <w:sz w:val="28"/>
          <w:szCs w:val="28"/>
        </w:rPr>
        <w:t>обавленная вершина-узел не близ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 ни к одной из существующих, поэтому она должна быть добавлена к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метаграфу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как независимая вершина-узел. </w:t>
      </w:r>
    </w:p>
    <w:p w:rsidR="00317A20" w:rsidRDefault="003B5F9C">
      <w:pPr>
        <w:ind w:firstLine="851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Во 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тором случае вершина-узел, возвращаемая сетью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Хопфилда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близка к новой вершине-узлу, и правильно объединить обе вершины в одну новую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метавершину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17A20" w:rsidRDefault="003B5F9C">
      <w:pPr>
        <w:pStyle w:val="Heading1"/>
      </w:pPr>
      <w:r>
        <w:t>Эксперимент</w:t>
      </w:r>
    </w:p>
    <w:p w:rsidR="00317A20" w:rsidRPr="00496C28" w:rsidRDefault="003B5F9C">
      <w:pPr>
        <w:ind w:firstLine="851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 линейном увеличении числа признаков и линейном увеличении числа вершин-узлов время выполнения алгоритма</w:t>
      </w:r>
      <w:r w:rsidR="00992DA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также растет в среднем линейно</w:t>
      </w:r>
      <w:r w:rsidR="00992DA8" w:rsidRPr="00992DA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[</w:t>
      </w:r>
      <w:r w:rsidR="00992DA8">
        <w:rPr>
          <w:rFonts w:ascii="Times New Roman" w:eastAsia="Calibri" w:hAnsi="Times New Roman" w:cs="Times New Roman"/>
          <w:color w:val="000000"/>
          <w:sz w:val="28"/>
          <w:szCs w:val="28"/>
        </w:rPr>
        <w:t>рисунок 2</w:t>
      </w:r>
      <w:r w:rsidR="00992DA8" w:rsidRPr="00992DA8">
        <w:rPr>
          <w:rFonts w:ascii="Times New Roman" w:eastAsia="Calibri" w:hAnsi="Times New Roman" w:cs="Times New Roman"/>
          <w:color w:val="000000"/>
          <w:sz w:val="28"/>
          <w:szCs w:val="28"/>
        </w:rPr>
        <w:t>]</w:t>
      </w:r>
      <w:r w:rsidR="00992DA8" w:rsidRPr="00496C2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17A20" w:rsidRDefault="00317A20">
      <w:pPr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317A20" w:rsidSect="00317A2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17A20"/>
    <w:rsid w:val="00233DC9"/>
    <w:rsid w:val="00317A20"/>
    <w:rsid w:val="00373E03"/>
    <w:rsid w:val="003B5F9C"/>
    <w:rsid w:val="00496C28"/>
    <w:rsid w:val="00992DA8"/>
    <w:rsid w:val="00AD27A5"/>
    <w:rsid w:val="00C05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A20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A32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Заголовок Знак"/>
    <w:basedOn w:val="a0"/>
    <w:uiPriority w:val="10"/>
    <w:qFormat/>
    <w:rsid w:val="00A3231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">
    <w:name w:val="Заголовок 1 Знак"/>
    <w:basedOn w:val="a0"/>
    <w:link w:val="1"/>
    <w:uiPriority w:val="9"/>
    <w:qFormat/>
    <w:rsid w:val="00A323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qFormat/>
    <w:rsid w:val="00E351FD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semiHidden/>
    <w:qFormat/>
    <w:rsid w:val="00E351FD"/>
    <w:rPr>
      <w:sz w:val="20"/>
      <w:szCs w:val="20"/>
    </w:rPr>
  </w:style>
  <w:style w:type="character" w:customStyle="1" w:styleId="a6">
    <w:name w:val="Тема примечания Знак"/>
    <w:basedOn w:val="a5"/>
    <w:uiPriority w:val="99"/>
    <w:semiHidden/>
    <w:qFormat/>
    <w:rsid w:val="00E351FD"/>
    <w:rPr>
      <w:b/>
      <w:bCs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E351FD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qFormat/>
    <w:rsid w:val="00C8198B"/>
    <w:rPr>
      <w:color w:val="808080"/>
    </w:rPr>
  </w:style>
  <w:style w:type="paragraph" w:customStyle="1" w:styleId="Heading">
    <w:name w:val="Heading"/>
    <w:basedOn w:val="a"/>
    <w:next w:val="a9"/>
    <w:qFormat/>
    <w:rsid w:val="00317A2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9">
    <w:name w:val="Body Text"/>
    <w:basedOn w:val="a"/>
    <w:rsid w:val="00317A20"/>
    <w:pPr>
      <w:spacing w:after="140" w:line="288" w:lineRule="auto"/>
    </w:pPr>
  </w:style>
  <w:style w:type="paragraph" w:styleId="aa">
    <w:name w:val="List"/>
    <w:basedOn w:val="a9"/>
    <w:rsid w:val="00317A20"/>
    <w:rPr>
      <w:rFonts w:cs="FreeSans"/>
    </w:rPr>
  </w:style>
  <w:style w:type="paragraph" w:customStyle="1" w:styleId="Caption">
    <w:name w:val="Caption"/>
    <w:basedOn w:val="a"/>
    <w:qFormat/>
    <w:rsid w:val="00317A2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317A20"/>
    <w:pPr>
      <w:suppressLineNumbers/>
    </w:pPr>
    <w:rPr>
      <w:rFonts w:cs="FreeSans"/>
    </w:rPr>
  </w:style>
  <w:style w:type="paragraph" w:styleId="ab">
    <w:name w:val="Title"/>
    <w:basedOn w:val="a"/>
    <w:uiPriority w:val="10"/>
    <w:qFormat/>
    <w:rsid w:val="00A32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List Paragraph"/>
    <w:basedOn w:val="a"/>
    <w:uiPriority w:val="34"/>
    <w:qFormat/>
    <w:rsid w:val="00A32315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E351FD"/>
    <w:pPr>
      <w:spacing w:line="240" w:lineRule="auto"/>
    </w:pPr>
    <w:rPr>
      <w:sz w:val="20"/>
      <w:szCs w:val="20"/>
    </w:rPr>
  </w:style>
  <w:style w:type="paragraph" w:styleId="ae">
    <w:name w:val="annotation subject"/>
    <w:basedOn w:val="ad"/>
    <w:uiPriority w:val="99"/>
    <w:semiHidden/>
    <w:unhideWhenUsed/>
    <w:qFormat/>
    <w:rsid w:val="00E351FD"/>
    <w:rPr>
      <w:b/>
      <w:bCs/>
    </w:rPr>
  </w:style>
  <w:style w:type="paragraph" w:styleId="af">
    <w:name w:val="Balloon Text"/>
    <w:basedOn w:val="a"/>
    <w:uiPriority w:val="99"/>
    <w:semiHidden/>
    <w:unhideWhenUsed/>
    <w:qFormat/>
    <w:rsid w:val="00E351F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0">
    <w:name w:val="caption"/>
    <w:basedOn w:val="a"/>
    <w:uiPriority w:val="35"/>
    <w:unhideWhenUsed/>
    <w:qFormat/>
    <w:rsid w:val="00AD41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2506C-7A38-4723-8878-B7C15FE94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457</Words>
  <Characters>2609</Characters>
  <Application>Microsoft Office Word</Application>
  <DocSecurity>0</DocSecurity>
  <Lines>21</Lines>
  <Paragraphs>6</Paragraphs>
  <ScaleCrop>false</ScaleCrop>
  <Company>BPC Group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Evgeny</cp:lastModifiedBy>
  <cp:revision>2</cp:revision>
  <dcterms:created xsi:type="dcterms:W3CDTF">2020-10-15T08:45:00Z</dcterms:created>
  <dcterms:modified xsi:type="dcterms:W3CDTF">2020-10-15T08:45:00Z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BPC Group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