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19050" distR="0">
            <wp:extent cx="1619250" cy="19240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36"/>
          <w:szCs w:val="36"/>
        </w:rPr>
        <w:t>Лабораторная работа № 6</w:t>
      </w:r>
    </w:p>
    <w:p>
      <w:pPr>
        <w:pStyle w:val="Heading4"/>
        <w:rPr>
          <w:sz w:val="36"/>
          <w:szCs w:val="36"/>
        </w:rPr>
      </w:pPr>
      <w:r>
        <w:rPr>
          <w:sz w:val="36"/>
          <w:szCs w:val="36"/>
        </w:rPr>
        <w:t>По курсу «Теория управления»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color w:val="000000"/>
          <w:sz w:val="27"/>
          <w:szCs w:val="27"/>
        </w:rPr>
        <w:t>ИССЛЕДОВАНИЕ УСТОЙЧИВОСТИ СИСТЕМ АВТОМАТИЧЕСКОГО УПРАВЛЕНИЯ МЕТОДОМ НАЙКВИСТА</w:t>
      </w:r>
      <w:r>
        <w:rPr>
          <w:b/>
          <w:sz w:val="36"/>
          <w:szCs w:val="36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</w:p>
    <w:p>
      <w:pPr>
        <w:pStyle w:val="Normal"/>
        <w:spacing w:lineRule="auto" w:line="276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Белоусов Евгений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Группа ИУ5-51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Лукьянов В.В.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BodyTextIndent2"/>
        <w:rPr/>
      </w:pPr>
      <w:r>
        <w:rPr/>
        <w:t>Изучить метод Найквиста для определения устойчивости замкнутой системы и научиться определять запасы устойчивости по фазе и амплитуде с помощью диаграммы Найквиста.</w:t>
      </w:r>
    </w:p>
    <w:p>
      <w:pPr>
        <w:pStyle w:val="BodyTextIndent2"/>
        <w:numPr>
          <w:ilvl w:val="0"/>
          <w:numId w:val="1"/>
        </w:numPr>
        <w:jc w:val="center"/>
        <w:rPr>
          <w:b/>
          <w:b/>
          <w:color w:val="00000A"/>
          <w:lang w:val="en-US"/>
        </w:rPr>
      </w:pPr>
      <w:r>
        <w:rPr>
          <w:b/>
        </w:rPr>
        <w:t>Задачи работы</w:t>
      </w:r>
    </w:p>
    <w:p>
      <w:pPr>
        <w:pStyle w:val="NormalWeb"/>
        <w:ind w:left="360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работе рассматривается разомкнутая система с передаточной функцией:</w:t>
      </w:r>
    </w:p>
    <w:p>
      <w:pPr>
        <w:pStyle w:val="NormalWeb"/>
        <w:rPr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Определить запасы устойчивости замкнутой системы по диаграмме Найквиста и сравнить их с запасами устойчивости, полученными по ЛАФЧХ замкнутой системы.</w:t>
      </w:r>
    </w:p>
    <w:p>
      <w:pPr>
        <w:pStyle w:val="NormalWeb"/>
        <w:numPr>
          <w:ilvl w:val="0"/>
          <w:numId w:val="1"/>
        </w:numPr>
        <w:jc w:val="center"/>
        <w:rPr>
          <w:b/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t>Выполнение работы</w:t>
      </w:r>
      <w:r>
        <w:rPr>
          <w:b/>
          <w:color w:val="000000"/>
          <w:sz w:val="27"/>
          <w:szCs w:val="27"/>
          <w:lang w:val="en-US"/>
        </w:rPr>
        <w:t>:</w:t>
      </w:r>
    </w:p>
    <w:p>
      <w:pPr>
        <w:pStyle w:val="NormalWeb"/>
        <w:numPr>
          <w:ilvl w:val="0"/>
          <w:numId w:val="2"/>
        </w:numPr>
        <w:rPr>
          <w:b/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передаточной функции разомкнутой системы построим кривую Найквиста тремя способами: </w:t>
      </w:r>
    </w:p>
    <w:p>
      <w:pPr>
        <w:pStyle w:val="NormalWeb"/>
        <w:ind w:left="720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оператора plot:</w:t>
      </w:r>
    </w:p>
    <w:p>
      <w:pPr>
        <w:pStyle w:val="NormalWeb"/>
        <w:ind w:left="720" w:hanging="0"/>
        <w:rPr>
          <w:b/>
          <w:b/>
          <w:color w:val="000000"/>
          <w:sz w:val="27"/>
          <w:szCs w:val="27"/>
        </w:rPr>
      </w:pPr>
      <w:r>
        <w:rPr/>
        <w:drawing>
          <wp:inline distT="0" distB="0" distL="0" distR="0">
            <wp:extent cx="5334635" cy="400875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  <w:lang w:eastAsia="ru-RU"/>
        </w:rPr>
      </w:r>
      <w:r>
        <w:br w:type="page"/>
      </w:r>
    </w:p>
    <w:p>
      <w:pPr>
        <w:pStyle w:val="NormalWeb"/>
        <w:ind w:left="720" w:hang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С помощью </w:t>
      </w:r>
      <w:r>
        <w:rPr>
          <w:color w:val="000000"/>
          <w:sz w:val="27"/>
          <w:szCs w:val="27"/>
          <w:lang w:val="en-US"/>
        </w:rPr>
        <w:t>nyquist:</w:t>
      </w:r>
    </w:p>
    <w:p>
      <w:pPr>
        <w:pStyle w:val="NormalWeb"/>
        <w:ind w:left="720" w:hanging="0"/>
        <w:rPr>
          <w:color w:val="000000"/>
          <w:sz w:val="27"/>
          <w:szCs w:val="27"/>
          <w:lang w:val="en-US"/>
        </w:rPr>
      </w:pPr>
      <w:r>
        <w:rPr/>
        <w:drawing>
          <wp:inline distT="0" distB="0" distL="0" distR="0">
            <wp:extent cx="5334635" cy="400875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ind w:left="720" w:hang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С помощью </w:t>
      </w:r>
      <w:r>
        <w:rPr>
          <w:color w:val="000000"/>
          <w:sz w:val="27"/>
          <w:szCs w:val="27"/>
          <w:lang w:val="en-US"/>
        </w:rPr>
        <w:t>ltiview:</w:t>
      </w:r>
    </w:p>
    <w:p>
      <w:pPr>
        <w:pStyle w:val="NormalWeb"/>
        <w:ind w:left="720" w:hanging="0"/>
        <w:rPr>
          <w:color w:val="000000"/>
          <w:sz w:val="27"/>
          <w:szCs w:val="27"/>
          <w:lang w:val="en-US"/>
        </w:rPr>
      </w:pPr>
      <w:r>
        <w:rPr/>
        <w:drawing>
          <wp:inline distT="0" distB="0" distL="0" distR="3810">
            <wp:extent cx="5311140" cy="402399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05100" cy="202628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Определим запасы устойчивости по фазе и амплитуде: Из </w:t>
      </w:r>
      <w:r>
        <w:rPr>
          <w:color w:val="000000"/>
          <w:sz w:val="27"/>
          <w:szCs w:val="27"/>
          <w:lang w:val="en-US"/>
        </w:rPr>
        <w:t>plot</w:t>
      </w:r>
      <w:r>
        <w:rPr>
          <w:color w:val="000000"/>
          <w:sz w:val="27"/>
          <w:szCs w:val="27"/>
        </w:rPr>
        <w:t xml:space="preserve"> видно, что запас устойчивости по амплитуде ≈0.33(</w:t>
      </w:r>
      <w:r>
        <w:rPr>
          <w:color w:val="000000"/>
          <w:sz w:val="27"/>
          <w:szCs w:val="27"/>
          <w:lang w:val="en-US"/>
        </w:rPr>
        <w:t>h</w:t>
      </w:r>
      <w:r>
        <w:rPr>
          <w:color w:val="000000"/>
          <w:sz w:val="27"/>
          <w:szCs w:val="27"/>
        </w:rPr>
        <w:t xml:space="preserve"> = 1 – 0.67), а из </w:t>
      </w:r>
      <w:r>
        <w:rPr>
          <w:color w:val="000000"/>
          <w:sz w:val="27"/>
          <w:szCs w:val="27"/>
          <w:lang w:val="en-US"/>
        </w:rPr>
        <w:t>ltiview</w:t>
      </w:r>
      <w:r>
        <w:rPr>
          <w:color w:val="000000"/>
          <w:sz w:val="27"/>
          <w:szCs w:val="27"/>
        </w:rPr>
        <w:t>, что по фазе =15.6 градуса.</w:t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</w:r>
      <w:r>
        <w:br w:type="page"/>
      </w:r>
    </w:p>
    <w:p>
      <w:pPr>
        <w:pStyle w:val="BodyTextIndent2"/>
        <w:numPr>
          <w:ilvl w:val="0"/>
          <w:numId w:val="2"/>
        </w:numPr>
        <w:rPr>
          <w:b/>
          <w:b/>
          <w:color w:val="00000A"/>
        </w:rPr>
      </w:pPr>
      <w:r>
        <w:rPr>
          <w:sz w:val="27"/>
          <w:szCs w:val="27"/>
        </w:rPr>
        <w:t>Построим переходную функцию и ЛАФЧХ для замкнутой системы. Замкнутую систему получим с помощью feedback.</w:t>
      </w:r>
    </w:p>
    <w:p>
      <w:pPr>
        <w:pStyle w:val="BodyTextIndent2"/>
        <w:ind w:left="720" w:hanging="0"/>
        <w:rPr>
          <w:b/>
          <w:b/>
          <w:color w:val="00000A"/>
        </w:rPr>
      </w:pPr>
      <w:r>
        <w:rPr/>
        <w:drawing>
          <wp:inline distT="0" distB="7620" distL="0" distR="3810">
            <wp:extent cx="5311140" cy="39928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2"/>
        <w:ind w:left="720" w:hanging="0"/>
        <w:rPr>
          <w:b/>
          <w:b/>
          <w:color w:val="00000A"/>
        </w:rPr>
      </w:pPr>
      <w:r>
        <w:rPr/>
        <w:drawing>
          <wp:inline distT="0" distB="0" distL="0" distR="0">
            <wp:extent cx="5342255" cy="396303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BodyTextIndent2"/>
        <w:numPr>
          <w:ilvl w:val="0"/>
          <w:numId w:val="2"/>
        </w:numPr>
        <w:rPr>
          <w:b/>
          <w:b/>
          <w:color w:val="00000A"/>
        </w:rPr>
      </w:pPr>
      <w:r>
        <w:rPr>
          <w:color w:val="00000A"/>
        </w:rPr>
        <w:t>Определим запасы устойчивости по ЛАФЧХ:</w:t>
      </w:r>
    </w:p>
    <w:p>
      <w:pPr>
        <w:pStyle w:val="BodyTextIndent2"/>
        <w:ind w:left="720" w:hanging="0"/>
        <w:rPr>
          <w:b/>
          <w:b/>
          <w:color w:val="00000A"/>
        </w:rPr>
      </w:pPr>
      <w:r>
        <w:rPr/>
        <w:drawing>
          <wp:inline distT="0" distB="0" distL="0" distR="3810">
            <wp:extent cx="4206240" cy="312483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2"/>
        <w:ind w:left="720" w:hanging="0"/>
        <w:rPr>
          <w:b/>
          <w:b/>
          <w:color w:val="00000A"/>
        </w:rPr>
      </w:pPr>
      <w:r>
        <w:rPr/>
        <w:drawing>
          <wp:inline distT="0" distB="4445" distL="0" distR="7620">
            <wp:extent cx="4183380" cy="287274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</w:rPr>
        <w:t>Как видим результаты отличаются</w:t>
      </w:r>
      <w:r>
        <w:rPr>
          <w:color w:val="00000A"/>
          <w:lang w:val="en-US"/>
        </w:rPr>
        <w:t>.</w:t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numPr>
          <w:ilvl w:val="0"/>
          <w:numId w:val="2"/>
        </w:numPr>
        <w:rPr>
          <w:color w:val="00000A"/>
        </w:rPr>
      </w:pPr>
      <w:r>
        <w:rPr>
          <w:sz w:val="27"/>
          <w:szCs w:val="27"/>
        </w:rPr>
        <w:t xml:space="preserve">Для системы на границе устойчивости, в состоянии устойчивости и в состоянии неустойчивости построить графики кривых Найквиста, переходной функции и ЛАФЧХ Выберем </w:t>
      </w:r>
      <w:r>
        <w:rPr>
          <w:sz w:val="27"/>
          <w:szCs w:val="27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sz w:val="27"/>
          <w:szCs w:val="27"/>
        </w:rPr>
        <w:t>(</w:t>
      </w:r>
      <w:r>
        <w:rPr>
          <w:rFonts w:eastAsia="" w:eastAsiaTheme="minorEastAsia"/>
          <w:sz w:val="27"/>
          <w:szCs w:val="27"/>
          <w:lang w:val="en-US"/>
        </w:rPr>
        <w:t>big</w:t>
      </w:r>
      <w:r>
        <w:rPr>
          <w:rFonts w:eastAsia="" w:eastAsiaTheme="minorEastAsia"/>
          <w:sz w:val="27"/>
          <w:szCs w:val="27"/>
        </w:rPr>
        <w:t>)</w:t>
      </w:r>
      <w:r>
        <w:rPr>
          <w:sz w:val="27"/>
          <w:szCs w:val="27"/>
        </w:rPr>
        <w:t>=3,</w:t>
      </w:r>
      <w:r>
        <w:rPr>
          <w:sz w:val="27"/>
          <w:szCs w:val="27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middle</m:t>
            </m:r>
          </m:e>
        </m:d>
      </m:oMath>
      <w:r>
        <w:rPr>
          <w:sz w:val="27"/>
          <w:szCs w:val="27"/>
        </w:rPr>
        <w:t>=1.5,</w:t>
      </w:r>
      <w:r>
        <w:rPr>
          <w:sz w:val="27"/>
          <w:szCs w:val="27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7"/>
          <w:szCs w:val="27"/>
        </w:rPr>
        <w:t>=0.8</w:t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/>
        <w:drawing>
          <wp:inline distT="0" distB="3810" distL="0" distR="0">
            <wp:extent cx="5319395" cy="393954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/>
        <w:drawing>
          <wp:inline distT="0" distB="7620" distL="0" distR="3810">
            <wp:extent cx="5311140" cy="399288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/>
        <w:drawing>
          <wp:inline distT="0" distB="0" distL="0" distR="0">
            <wp:extent cx="5342255" cy="394716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2"/>
        <w:ind w:left="72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BodyTextIndent2"/>
        <w:numPr>
          <w:ilvl w:val="0"/>
          <w:numId w:val="1"/>
        </w:numPr>
        <w:jc w:val="center"/>
        <w:rPr>
          <w:b/>
          <w:b/>
          <w:color w:val="00000A"/>
        </w:rPr>
      </w:pPr>
      <w:r>
        <w:rPr>
          <w:b/>
          <w:color w:val="00000A"/>
        </w:rPr>
        <w:t>Выводы</w:t>
      </w:r>
      <w:r>
        <w:rPr>
          <w:b/>
          <w:color w:val="00000A"/>
          <w:lang w:val="en-US"/>
        </w:rPr>
        <w:t>:</w:t>
      </w:r>
    </w:p>
    <w:p>
      <w:pPr>
        <w:pStyle w:val="BodyTextIndent2"/>
        <w:spacing w:before="0" w:after="160"/>
        <w:ind w:left="720" w:hanging="0"/>
        <w:rPr/>
      </w:pPr>
      <w:r>
        <w:rPr>
          <w:sz w:val="27"/>
          <w:szCs w:val="27"/>
        </w:rPr>
        <w:t>Был изучен метод Найквиста для определения устойчивости и запасов устойчивости замкнутой системы. Также было произведено сравнение с методом, когда определяем запасы устойчивости по ЛАФЧХ.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66e"/>
    <w:pPr>
      <w:widowControl/>
      <w:bidi w:val="0"/>
      <w:spacing w:lineRule="auto" w:line="254" w:before="0" w:after="160"/>
      <w:jc w:val="left"/>
    </w:pPr>
    <w:rPr>
      <w:rFonts w:ascii="Calibri" w:hAnsi="Calibri" w:cs="" w:asciiTheme="minorHAnsi" w:cstheme="minorBidi" w:hAnsiTheme="minorHAnsi" w:eastAsia="Calibri"/>
      <w:color w:val="auto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0"/>
    <w:uiPriority w:val="9"/>
    <w:unhideWhenUsed/>
    <w:qFormat/>
    <w:rsid w:val="0007666e"/>
    <w:pPr>
      <w:keepNext/>
      <w:spacing w:before="120" w:after="0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07666e"/>
    <w:rPr>
      <w:b/>
      <w:bCs/>
    </w:rPr>
  </w:style>
  <w:style w:type="character" w:styleId="Style13" w:customStyle="1">
    <w:name w:val="Основной текст с отступом Знак"/>
    <w:basedOn w:val="DefaultParagraphFont"/>
    <w:link w:val="a5"/>
    <w:uiPriority w:val="99"/>
    <w:qFormat/>
    <w:rsid w:val="0007666e"/>
    <w:rPr>
      <w:color w:val="000000"/>
    </w:rPr>
  </w:style>
  <w:style w:type="character" w:styleId="PlaceholderText">
    <w:name w:val="Placeholder Text"/>
    <w:basedOn w:val="DefaultParagraphFont"/>
    <w:uiPriority w:val="99"/>
    <w:semiHidden/>
    <w:qFormat/>
    <w:rsid w:val="0007666e"/>
    <w:rPr>
      <w:color w:val="808080"/>
    </w:rPr>
  </w:style>
  <w:style w:type="character" w:styleId="2" w:customStyle="1">
    <w:name w:val="Основной текст с отступом 2 Знак"/>
    <w:basedOn w:val="DefaultParagraphFont"/>
    <w:link w:val="2"/>
    <w:uiPriority w:val="99"/>
    <w:qFormat/>
    <w:rsid w:val="00cc67f4"/>
    <w:rPr>
      <w:color w:val="000000"/>
    </w:rPr>
  </w:style>
  <w:style w:type="character" w:styleId="ListLabel1">
    <w:name w:val="ListLabel 1"/>
    <w:qFormat/>
    <w:rPr>
      <w:rFonts w:eastAsia="Calibri"/>
      <w:b w:val="false"/>
      <w:color w:val="000000"/>
    </w:rPr>
  </w:style>
  <w:style w:type="character" w:styleId="ListLabel2">
    <w:name w:val="ListLabel 2"/>
    <w:qFormat/>
    <w:rPr>
      <w:rFonts w:eastAsia="Calibri"/>
      <w:b w:val="false"/>
      <w:color w:val="00000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07666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07666e"/>
    <w:pPr>
      <w:widowControl/>
      <w:suppressAutoHyphens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07666e"/>
    <w:pPr>
      <w:spacing w:before="0" w:after="160"/>
      <w:ind w:left="720" w:hanging="0"/>
      <w:contextualSpacing/>
    </w:pPr>
    <w:rPr/>
  </w:style>
  <w:style w:type="paragraph" w:styleId="TextBodyIndent">
    <w:name w:val="Body Text Indent"/>
    <w:basedOn w:val="Normal"/>
    <w:link w:val="a6"/>
    <w:uiPriority w:val="99"/>
    <w:unhideWhenUsed/>
    <w:rsid w:val="0007666e"/>
    <w:pPr>
      <w:ind w:left="360" w:firstLine="348"/>
    </w:pPr>
    <w:rPr>
      <w:rFonts w:ascii="Times New Roman" w:hAnsi="Times New Roman" w:cs="Times New Roman"/>
      <w:color w:val="000000"/>
      <w:sz w:val="28"/>
      <w:szCs w:val="28"/>
    </w:rPr>
  </w:style>
  <w:style w:type="paragraph" w:styleId="BodyTextIndent2">
    <w:name w:val="Body Text Indent 2"/>
    <w:basedOn w:val="Normal"/>
    <w:link w:val="20"/>
    <w:uiPriority w:val="99"/>
    <w:unhideWhenUsed/>
    <w:qFormat/>
    <w:rsid w:val="00cc67f4"/>
    <w:pPr>
      <w:ind w:left="360" w:hanging="0"/>
    </w:pPr>
    <w:rPr>
      <w:rFonts w:ascii="Times New Roman" w:hAnsi="Times New Roman" w:cs="Times New Roman"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LibreOffice/5.1.6.2$Linux_X86_64 LibreOffice_project/10m0$Build-2</Application>
  <Pages>8</Pages>
  <Words>231</Words>
  <Characters>1591</Characters>
  <CharactersWithSpaces>1783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2019-12-03T17:54:00Z</dcterms:created>
  <dc:creator>Андрей Матиенко</dc:creator>
  <dc:description/>
  <dc:language>ru-RU</dc:language>
  <cp:lastModifiedBy/>
  <dcterms:modified xsi:type="dcterms:W3CDTF">2019-12-13T12:57:40Z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