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88480" w14:textId="64F8234E" w:rsidR="00F84ED4" w:rsidRDefault="00F84ED4" w:rsidP="00F84ED4">
      <w:pPr>
        <w:pStyle w:val="1"/>
        <w:numPr>
          <w:ilvl w:val="0"/>
          <w:numId w:val="0"/>
        </w:numPr>
        <w:jc w:val="center"/>
      </w:pPr>
      <w:bookmarkStart w:id="0" w:name="_Toc240915474"/>
      <w:r>
        <w:t>Реестр требований</w:t>
      </w:r>
      <w:bookmarkEnd w:id="0"/>
    </w:p>
    <w:p w14:paraId="221FF320" w14:textId="77777777" w:rsidR="00F84ED4" w:rsidRDefault="00F84ED4" w:rsidP="00F84ED4">
      <w:r>
        <w:t>Реестр содержит 50 требований: 28 функциональных, 16 нефункциональных и 6 ограничений.</w:t>
      </w:r>
    </w:p>
    <w:p w14:paraId="3EBED72F" w14:textId="707675DA" w:rsidR="00F84ED4" w:rsidRDefault="00F84ED4" w:rsidP="00F84ED4">
      <w:pPr>
        <w:keepNext/>
        <w:ind w:firstLine="0"/>
        <w:jc w:val="left"/>
      </w:pPr>
      <w:r>
        <w:t>Таблица 1 – Реестр требований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67449BD6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5" w:type="dxa"/>
            <w:shd w:val="clear" w:color="auto" w:fill="auto"/>
          </w:tcPr>
          <w:p w14:paraId="3A5207A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540" w:type="dxa"/>
            <w:shd w:val="clear" w:color="auto" w:fill="auto"/>
          </w:tcPr>
          <w:p w14:paraId="77FB985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 NFR</w:t>
            </w:r>
          </w:p>
        </w:tc>
        <w:tc>
          <w:tcPr>
            <w:tcW w:w="900" w:type="dxa"/>
            <w:shd w:val="clear" w:color="auto" w:fill="auto"/>
          </w:tcPr>
          <w:p w14:paraId="0A10D85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2520" w:type="dxa"/>
            <w:shd w:val="clear" w:color="auto" w:fill="auto"/>
          </w:tcPr>
          <w:p w14:paraId="4348500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260" w:type="dxa"/>
            <w:shd w:val="clear" w:color="auto" w:fill="auto"/>
          </w:tcPr>
          <w:p w14:paraId="483409B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620" w:type="dxa"/>
            <w:shd w:val="clear" w:color="auto" w:fill="auto"/>
          </w:tcPr>
          <w:p w14:paraId="0F66A40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720" w:type="dxa"/>
            <w:shd w:val="clear" w:color="auto" w:fill="auto"/>
          </w:tcPr>
          <w:p w14:paraId="6FAE760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20" w:type="dxa"/>
            <w:shd w:val="clear" w:color="auto" w:fill="auto"/>
          </w:tcPr>
          <w:p w14:paraId="12F1F4A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F84ED4" w14:paraId="0B0F9957" w14:textId="77777777" w:rsidTr="00F84ED4">
        <w:tc>
          <w:tcPr>
            <w:tcW w:w="9715" w:type="dxa"/>
            <w:gridSpan w:val="8"/>
            <w:shd w:val="clear" w:color="auto" w:fill="auto"/>
          </w:tcPr>
          <w:p w14:paraId="4E1B5EC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Функциональные требования (FR)</w:t>
            </w:r>
          </w:p>
        </w:tc>
      </w:tr>
      <w:tr w:rsidR="00F84ED4" w14:paraId="0B6B2DC2" w14:textId="77777777" w:rsidTr="00F84ED4">
        <w:trPr>
          <w:cantSplit/>
          <w:trHeight w:val="1134"/>
        </w:trPr>
        <w:tc>
          <w:tcPr>
            <w:tcW w:w="535" w:type="dxa"/>
          </w:tcPr>
          <w:p w14:paraId="707A560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FR-01</w:t>
            </w:r>
          </w:p>
        </w:tc>
        <w:tc>
          <w:tcPr>
            <w:tcW w:w="540" w:type="dxa"/>
            <w:textDirection w:val="tbRl"/>
          </w:tcPr>
          <w:p w14:paraId="20441A7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6FB76CA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Получение копий трафика HTTP, SMTP и FTP</w:t>
            </w:r>
          </w:p>
        </w:tc>
        <w:tc>
          <w:tcPr>
            <w:tcW w:w="2520" w:type="dxa"/>
          </w:tcPr>
          <w:p w14:paraId="6ACFB8A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получать копии сетевого трафика протоколов HTTP, SMTP и FTP, передаваемого из контролируемой сети во внешние системы, и передавать их на анализ без изменения и задержки исходной передачи.</w:t>
            </w:r>
          </w:p>
        </w:tc>
        <w:tc>
          <w:tcPr>
            <w:tcW w:w="1260" w:type="dxa"/>
          </w:tcPr>
          <w:p w14:paraId="3DEAC57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620" w:type="dxa"/>
          </w:tcPr>
          <w:p w14:paraId="72A5488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Электронная почта, веб-передача и передача файлов — основные каналы утечки из описания бизнес-проблемы.</w:t>
            </w:r>
          </w:p>
        </w:tc>
        <w:tc>
          <w:tcPr>
            <w:tcW w:w="720" w:type="dxa"/>
          </w:tcPr>
          <w:p w14:paraId="49DB6F8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02517E6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На стенде передаются по 10 сообщений по HTTP, SMTP и FTP; каждое присутствует в журнале событий с метаданными (IP-адреса, URL или адрес получателя, время); содержимое, принятое получателем, совпадает с отправленным (сравнение хэшей).</w:t>
            </w:r>
          </w:p>
        </w:tc>
      </w:tr>
      <w:tr w:rsidR="00F84ED4" w14:paraId="0FCEEABE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29C7140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5557B230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05BB6B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Анализ HTTPS при получении расшифрованного трафика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97E43F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анализировать содержимое HTTPS-передач, если трафик поступает от инфраструктуры организации в расшифрованном виде (прокси-сервер с установленным сертификатом организации), а при отсутствии расшифрованного трафика — регистрировать только метаданные соединения.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C02CD6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28F8EF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Без сертификата организации HTTPS-трафик образует «слепые зоны»; дешифрование выполняет внешняя инфраструктура (CON-02).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86C4E6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08B9D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(а) HTTPS-запрос с тестовым паспортом через прокси с сертификатом организации фиксируется как инцидент; (б) тот же запрос без прокси даёт в журнале событий только метаданные, инцидент не создаётся.</w:t>
            </w:r>
          </w:p>
        </w:tc>
      </w:tr>
      <w:tr w:rsidR="00F84ED4" w14:paraId="36BCB02A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101028E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FR-03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56FD1FD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47BC899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Регистрация метаданных перехваченных сообщений</w:t>
            </w:r>
          </w:p>
        </w:tc>
        <w:tc>
          <w:tcPr>
            <w:tcW w:w="2520" w:type="dxa"/>
            <w:tcBorders>
              <w:bottom w:val="nil"/>
            </w:tcBorders>
          </w:tcPr>
          <w:p w14:paraId="26F6A4E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фиксировать метаданные каждого перехваченного сообщения (время, IP-адрес отправителя, адрес получателя или URL, протокол) в журнале событий, не сохраняя полное содержимое сообщения.</w:t>
            </w:r>
          </w:p>
        </w:tc>
        <w:tc>
          <w:tcPr>
            <w:tcW w:w="1260" w:type="dxa"/>
            <w:tcBorders>
              <w:bottom w:val="nil"/>
            </w:tcBorders>
          </w:tcPr>
          <w:p w14:paraId="5F20AC8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2</w:t>
            </w:r>
          </w:p>
        </w:tc>
        <w:tc>
          <w:tcPr>
            <w:tcW w:w="1620" w:type="dxa"/>
            <w:tcBorders>
              <w:bottom w:val="nil"/>
            </w:tcBorders>
          </w:tcPr>
          <w:p w14:paraId="0387678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Метаданные дают администратору целостную картину передач и позволяют проверять работу перехвата; хранение полного содержимого исключено границами системы.</w:t>
            </w:r>
          </w:p>
        </w:tc>
        <w:tc>
          <w:tcPr>
            <w:tcW w:w="720" w:type="dxa"/>
            <w:tcBorders>
              <w:bottom w:val="nil"/>
            </w:tcBorders>
          </w:tcPr>
          <w:p w14:paraId="7C9B472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6C05D4A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 и инспекция. Перехваченный тестовый запрос отображается в журнале событий с полями «время», «IP», «URL или адрес», «протокол»; в таблицах БД отсутствует полный текст сообщения.</w:t>
            </w:r>
          </w:p>
        </w:tc>
      </w:tr>
    </w:tbl>
    <w:p w14:paraId="0DE1986F" w14:textId="22A18975" w:rsidR="001051EC" w:rsidRDefault="001051EC"/>
    <w:p w14:paraId="2A230AA6" w14:textId="1D5C3E2D" w:rsidR="001051EC" w:rsidRDefault="001051EC"/>
    <w:p w14:paraId="76C9FCD7" w14:textId="3DF5C2A9" w:rsidR="001051EC" w:rsidRDefault="001051EC"/>
    <w:p w14:paraId="18399F4B" w14:textId="1371D9FA" w:rsidR="001051EC" w:rsidRDefault="001051EC" w:rsidP="001051EC">
      <w:pPr>
        <w:keepNext/>
        <w:ind w:firstLine="0"/>
        <w:jc w:val="left"/>
      </w:pPr>
      <w:r>
        <w:lastRenderedPageBreak/>
        <w:t>Таблица 1 – Реестр требований</w:t>
      </w:r>
      <w:r>
        <w:t>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6CA1F21D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7FBF017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FR-04</w:t>
            </w:r>
          </w:p>
        </w:tc>
        <w:tc>
          <w:tcPr>
            <w:tcW w:w="540" w:type="dxa"/>
            <w:textDirection w:val="tbRl"/>
          </w:tcPr>
          <w:p w14:paraId="5DA813A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1406332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Обнаружение паспортных данных, телефонов и 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</w:p>
        </w:tc>
        <w:tc>
          <w:tcPr>
            <w:tcW w:w="2520" w:type="dxa"/>
          </w:tcPr>
          <w:p w14:paraId="4CE517F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обнаруживать в передаваемых данных паспортные данные в формате «XXXX XXXXXX» (серия из 4 цифр, номер из 6 цифр), номера телефонов в формате +7XXXXXXXXXX (допускаются пробелы, дефисы и скобки) и адреса электронной почты, не входящие в список исключений (FR-10), и регистрировать инцидент.</w:t>
            </w:r>
          </w:p>
        </w:tc>
        <w:tc>
          <w:tcPr>
            <w:tcW w:w="1260" w:type="dxa"/>
          </w:tcPr>
          <w:p w14:paraId="0BD52C6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152-ФЗ</w:t>
            </w:r>
          </w:p>
        </w:tc>
        <w:tc>
          <w:tcPr>
            <w:tcW w:w="1620" w:type="dxa"/>
          </w:tcPr>
          <w:p w14:paraId="0C165FA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Паспортные данные, телефоны и 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  <w:r>
              <w:rPr>
                <w:sz w:val="17"/>
                <w:szCs w:val="17"/>
              </w:rPr>
              <w:t xml:space="preserve"> — персональные данные (152-ФЗ); адреса корпоративного домена задаются в исключениях, иначе срабатывания будут массовыми.</w:t>
            </w:r>
          </w:p>
        </w:tc>
        <w:tc>
          <w:tcPr>
            <w:tcW w:w="720" w:type="dxa"/>
          </w:tcPr>
          <w:p w14:paraId="5160BF3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0794A59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Испытание. Тестовые сообщения с паспортом, телефоном (в том числе с разделителями) и 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  <w:r>
              <w:rPr>
                <w:sz w:val="17"/>
                <w:szCs w:val="17"/>
              </w:rPr>
              <w:t xml:space="preserve"> вне списка исключений создают инциденты соответствующих типов; 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  <w:r>
              <w:rPr>
                <w:sz w:val="17"/>
                <w:szCs w:val="17"/>
              </w:rPr>
              <w:t xml:space="preserve"> из списка исключений инцидента не создаёт; показатели по наборам — по FR-07.</w:t>
            </w:r>
          </w:p>
        </w:tc>
      </w:tr>
      <w:tr w:rsidR="00F84ED4" w14:paraId="6356878D" w14:textId="77777777" w:rsidTr="00F84ED4">
        <w:trPr>
          <w:cantSplit/>
          <w:trHeight w:val="1134"/>
        </w:trPr>
        <w:tc>
          <w:tcPr>
            <w:tcW w:w="535" w:type="dxa"/>
          </w:tcPr>
          <w:p w14:paraId="1BD2355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FR-05</w:t>
            </w:r>
          </w:p>
        </w:tc>
        <w:tc>
          <w:tcPr>
            <w:tcW w:w="540" w:type="dxa"/>
            <w:textDirection w:val="tbRl"/>
          </w:tcPr>
          <w:p w14:paraId="6A54957B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9F771D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Обнаружение ИНН с проверкой контрольной суммы</w:t>
            </w:r>
          </w:p>
        </w:tc>
        <w:tc>
          <w:tcPr>
            <w:tcW w:w="2520" w:type="dxa"/>
          </w:tcPr>
          <w:p w14:paraId="34D71CF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Система должна обнаруживать в передаваемых данных ИНН (10 или 12 цифр) и регистрировать инцидент только при верной контрольной сумме, вычисляемой </w:t>
            </w:r>
            <w:proofErr w:type="gramStart"/>
            <w:r>
              <w:rPr>
                <w:sz w:val="17"/>
                <w:szCs w:val="17"/>
              </w:rPr>
              <w:t>по алгоритму</w:t>
            </w:r>
            <w:proofErr w:type="gramEnd"/>
            <w:r>
              <w:rPr>
                <w:sz w:val="17"/>
                <w:szCs w:val="17"/>
              </w:rPr>
              <w:t xml:space="preserve"> раздела 6.3.1.</w:t>
            </w:r>
          </w:p>
        </w:tc>
        <w:tc>
          <w:tcPr>
            <w:tcW w:w="1260" w:type="dxa"/>
          </w:tcPr>
          <w:p w14:paraId="3B803EF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152-ФЗ</w:t>
            </w:r>
          </w:p>
        </w:tc>
        <w:tc>
          <w:tcPr>
            <w:tcW w:w="1620" w:type="dxa"/>
          </w:tcPr>
          <w:p w14:paraId="41FBC1B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Проверка контрольной суммы отсеивает номера заказов и артикулы, похожие на ИНН, и снижает долю ложных срабатываний.</w:t>
            </w:r>
          </w:p>
        </w:tc>
        <w:tc>
          <w:tcPr>
            <w:tcW w:w="720" w:type="dxa"/>
          </w:tcPr>
          <w:p w14:paraId="7243C10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2C5210A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Не менее 5 тестовых ИНН каждой длины с верной контрольной суммой фиксируются как инциденты с найденным фрагментом; не менее 5 последовательностей каждой длины с неверной контрольной суммой инцидентов не создают.</w:t>
            </w:r>
          </w:p>
        </w:tc>
      </w:tr>
      <w:tr w:rsidR="00F84ED4" w14:paraId="7AFF1094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099B09B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FR-06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1BD13F2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570641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gramStart"/>
            <w:r>
              <w:rPr>
                <w:sz w:val="17"/>
                <w:szCs w:val="17"/>
              </w:rPr>
              <w:t>Обнаружение по ключевым словам</w:t>
            </w:r>
            <w:proofErr w:type="gramEnd"/>
            <w:r>
              <w:rPr>
                <w:sz w:val="17"/>
                <w:szCs w:val="17"/>
              </w:rPr>
              <w:t xml:space="preserve"> и словарям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03BC33D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обнаруживать в передаваемых данных слова и выражения из словарей, заданных администратором (в том числе коммерческие термины), и регистрировать инцидент с указанием сработавшего словаря.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61DEAD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98-ФЗ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4C7203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Коммерческая тайна защищается при введении организацией режима коммерческой тайны; перечень терминов определяет организация.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62C676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086B5F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Для словаря из 3 терминов сообщения, содержащие термин, создают инцидент с названием словаря; сообщения без терминов инцидентов не создают.</w:t>
            </w:r>
          </w:p>
        </w:tc>
      </w:tr>
      <w:tr w:rsidR="00F84ED4" w14:paraId="2EB10BCD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262BEDC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FR-07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7E4E00C5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1180941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Снижение ложных срабатываний контекстными проверками</w:t>
            </w:r>
          </w:p>
        </w:tc>
        <w:tc>
          <w:tcPr>
            <w:tcW w:w="2520" w:type="dxa"/>
            <w:tcBorders>
              <w:bottom w:val="nil"/>
            </w:tcBorders>
          </w:tcPr>
          <w:p w14:paraId="0CBDAFB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применять к каждому совпадению контекстные проверки (контрольная сумма ИНН, ключевые слова-маркеры рядом с найденным значением, список исключений) и обеспечивать долю ложных срабатываний не более 5 % на контрольном наборе из 100 сообщений без чувствительных данных (не менее 20 из них содержат «похожие» последовательности: 10–12-значные числа с неверной контрольной суммой, номера заказов, артикулы) при полноте обнаружения не менее 95 % на контрольном наборе из 50 сообщений с чувствительными данными (не более 2 пропусков).</w:t>
            </w:r>
          </w:p>
        </w:tc>
        <w:tc>
          <w:tcPr>
            <w:tcW w:w="1260" w:type="dxa"/>
            <w:tcBorders>
              <w:bottom w:val="nil"/>
            </w:tcBorders>
          </w:tcPr>
          <w:p w14:paraId="6409C66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таблицы 3–5</w:t>
            </w:r>
          </w:p>
        </w:tc>
        <w:tc>
          <w:tcPr>
            <w:tcW w:w="1620" w:type="dxa"/>
            <w:tcBorders>
              <w:bottom w:val="nil"/>
            </w:tcBorders>
          </w:tcPr>
          <w:p w14:paraId="660D6AF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Снижает риск массовых ложных срабатываний и потери доверия администратора; порог полноты не позволяет достичь снижения ложных срабатываний ценой пропуска реальных утечек.</w:t>
            </w:r>
          </w:p>
        </w:tc>
        <w:tc>
          <w:tcPr>
            <w:tcW w:w="720" w:type="dxa"/>
            <w:tcBorders>
              <w:bottom w:val="nil"/>
            </w:tcBorders>
          </w:tcPr>
          <w:p w14:paraId="2BCD176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7608124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Прогон контрольных наборов: доля ложных срабатываний (формула 4) не более 5 %, то есть не более 5 сообщений из 100; полнота обнаружения (формула 5) не менее 95 %, то есть не более 2 пропусков из 50.</w:t>
            </w:r>
          </w:p>
        </w:tc>
      </w:tr>
    </w:tbl>
    <w:p w14:paraId="28174D6B" w14:textId="2101DA5D" w:rsidR="001051EC" w:rsidRDefault="001051EC"/>
    <w:p w14:paraId="5F22E91E" w14:textId="719AD505" w:rsidR="001051EC" w:rsidRDefault="001051EC" w:rsidP="001051EC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2D2D37FA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591E765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FR-08</w:t>
            </w:r>
          </w:p>
        </w:tc>
        <w:tc>
          <w:tcPr>
            <w:tcW w:w="540" w:type="dxa"/>
            <w:textDirection w:val="tbRl"/>
          </w:tcPr>
          <w:p w14:paraId="00AEAA4C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7C7CC0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Присвоение уровня важности инциденту</w:t>
            </w:r>
          </w:p>
        </w:tc>
        <w:tc>
          <w:tcPr>
            <w:tcW w:w="2520" w:type="dxa"/>
          </w:tcPr>
          <w:p w14:paraId="56EBC92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присваивать каждому инциденту уровень важности («низкий», «средний», «критический») по настройке правила, сработавшего на сообщении; при срабатывании нескольких правил присваивается наивысший уровень.</w:t>
            </w:r>
          </w:p>
        </w:tc>
        <w:tc>
          <w:tcPr>
            <w:tcW w:w="1260" w:type="dxa"/>
          </w:tcPr>
          <w:p w14:paraId="2E914FA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</w:t>
            </w:r>
          </w:p>
        </w:tc>
        <w:tc>
          <w:tcPr>
            <w:tcW w:w="1620" w:type="dxa"/>
          </w:tcPr>
          <w:p w14:paraId="17A8F1F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Настройка оповещений по важности позволяет не пропускать критические события и не перегружать администратора.</w:t>
            </w:r>
          </w:p>
        </w:tc>
        <w:tc>
          <w:tcPr>
            <w:tcW w:w="720" w:type="dxa"/>
          </w:tcPr>
          <w:p w14:paraId="47574AB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7ADA8BA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Для правил с разными уровнями важности инциденты получают соответствующие уровни; сообщение, вызывающее правила с уровнями «низкий» и «критический», получает уровень «критический».</w:t>
            </w:r>
          </w:p>
        </w:tc>
      </w:tr>
      <w:tr w:rsidR="00F84ED4" w14:paraId="6F0AB09C" w14:textId="77777777" w:rsidTr="00F84ED4">
        <w:trPr>
          <w:cantSplit/>
          <w:trHeight w:val="1134"/>
        </w:trPr>
        <w:tc>
          <w:tcPr>
            <w:tcW w:w="535" w:type="dxa"/>
          </w:tcPr>
          <w:p w14:paraId="3AC93A4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FR-09</w:t>
            </w:r>
          </w:p>
        </w:tc>
        <w:tc>
          <w:tcPr>
            <w:tcW w:w="540" w:type="dxa"/>
            <w:textDirection w:val="tbRl"/>
          </w:tcPr>
          <w:p w14:paraId="54CD821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6B03C2E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Исключение дублирования инцидентов</w:t>
            </w:r>
          </w:p>
        </w:tc>
        <w:tc>
          <w:tcPr>
            <w:tcW w:w="2520" w:type="dxa"/>
          </w:tcPr>
          <w:p w14:paraId="0A5A0ED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не регистрировать повторный инцидент для сообщения, повторно прошедшего через точку перехвата (определяется по хэшу содержимого и параметрам соединения), при этом новая отправка того же текста должна регистрироваться как новый инцидент.</w:t>
            </w:r>
          </w:p>
        </w:tc>
        <w:tc>
          <w:tcPr>
            <w:tcW w:w="1260" w:type="dxa"/>
          </w:tcPr>
          <w:p w14:paraId="3BF8E51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4</w:t>
            </w:r>
          </w:p>
        </w:tc>
        <w:tc>
          <w:tcPr>
            <w:tcW w:w="1620" w:type="dxa"/>
          </w:tcPr>
          <w:p w14:paraId="56787A2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Исключает дубли и переполнение журнала и не скрывает повторные попытки передачи.</w:t>
            </w:r>
          </w:p>
        </w:tc>
        <w:tc>
          <w:tcPr>
            <w:tcW w:w="720" w:type="dxa"/>
          </w:tcPr>
          <w:p w14:paraId="66F397E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2A17D31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Повторный проход одного и того же пакета (повторная передача) создаёт 1 инцидент; две отдельные отправки одного текста создают 2 инцидента.</w:t>
            </w:r>
          </w:p>
        </w:tc>
      </w:tr>
      <w:tr w:rsidR="00F84ED4" w14:paraId="67EEB9D0" w14:textId="77777777" w:rsidTr="00F84ED4">
        <w:trPr>
          <w:cantSplit/>
          <w:trHeight w:val="1134"/>
        </w:trPr>
        <w:tc>
          <w:tcPr>
            <w:tcW w:w="535" w:type="dxa"/>
          </w:tcPr>
          <w:p w14:paraId="08264FE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FR-10</w:t>
            </w:r>
          </w:p>
        </w:tc>
        <w:tc>
          <w:tcPr>
            <w:tcW w:w="540" w:type="dxa"/>
            <w:textDirection w:val="tbRl"/>
          </w:tcPr>
          <w:p w14:paraId="40D414E1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2331CBE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Управление списком исключений</w:t>
            </w:r>
          </w:p>
        </w:tc>
        <w:tc>
          <w:tcPr>
            <w:tcW w:w="2520" w:type="dxa"/>
          </w:tcPr>
          <w:p w14:paraId="4868911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позволять администратору через веб-интерфейс формировать список исключений (значения, адреса и домены получателей, категории ресурсов) и не создавать инцидентов для сообщений и значений из этого списка.</w:t>
            </w:r>
          </w:p>
        </w:tc>
        <w:tc>
          <w:tcPr>
            <w:tcW w:w="1260" w:type="dxa"/>
          </w:tcPr>
          <w:p w14:paraId="6E94262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ст. 5 152-ФЗ; ст. 86 ТК РФ</w:t>
            </w:r>
          </w:p>
        </w:tc>
        <w:tc>
          <w:tcPr>
            <w:tcW w:w="1620" w:type="dxa"/>
          </w:tcPr>
          <w:p w14:paraId="44899D5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Снижает ложные срабатывания и позволяет вывести из-под контроля данные, не связанные с трудовой деятельностью; границы мониторинга фиксирует организация в локальном акте.</w:t>
            </w:r>
          </w:p>
        </w:tc>
        <w:tc>
          <w:tcPr>
            <w:tcW w:w="720" w:type="dxa"/>
          </w:tcPr>
          <w:p w14:paraId="6E65B1F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4E6A87F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После добавления домена в исключения тестовое сообщение с паспортными данными на этот домен инцидента не создаёт; после удаления домена из списка — создаёт.</w:t>
            </w:r>
          </w:p>
        </w:tc>
      </w:tr>
      <w:tr w:rsidR="00F84ED4" w14:paraId="45B0A9C3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C5B4B6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FR-11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6568D5BB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1DC57E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Ведение журнала инцидентов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D25F5A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вести журнал инцидентов, каждая запись которого содержит дату, время, отправителя, получателя, канал передачи, тип данных, уровень важности и фрагмент данных длиной не более 200 символов.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44D668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StH-03; ст. 5 152-ФЗ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864153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Журнал — основа разбора инцидентов и отчётности; ограничение длины фрагмента реализует принцип минимизации данных.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28E278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28F7CB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 и инспекция. Для каждого из 50 инцидентов контрольного набора присутствуют все перечисленные поля; для сообщения длиной 10 000 символов длина сохранённого фрагмента не превышает 200 символов.</w:t>
            </w:r>
          </w:p>
        </w:tc>
      </w:tr>
      <w:tr w:rsidR="00F84ED4" w14:paraId="2E7C9880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256D6E8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FR-12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72366FA8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2D6683D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Список инцидентов с фильтрацией и поиском</w:t>
            </w:r>
          </w:p>
        </w:tc>
        <w:tc>
          <w:tcPr>
            <w:tcW w:w="2520" w:type="dxa"/>
            <w:tcBorders>
              <w:bottom w:val="nil"/>
            </w:tcBorders>
          </w:tcPr>
          <w:p w14:paraId="50DC495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отображать журнал инцидентов в веб-интерфейсе в виде списка с фильтрацией по дате, типу данных, каналу, уровню важности и статусу обработки и с поиском по отправителю и получателю.</w:t>
            </w:r>
          </w:p>
        </w:tc>
        <w:tc>
          <w:tcPr>
            <w:tcW w:w="1260" w:type="dxa"/>
            <w:tcBorders>
              <w:bottom w:val="nil"/>
            </w:tcBorders>
          </w:tcPr>
          <w:p w14:paraId="2DF6429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4</w:t>
            </w:r>
          </w:p>
        </w:tc>
        <w:tc>
          <w:tcPr>
            <w:tcW w:w="1620" w:type="dxa"/>
            <w:tcBorders>
              <w:bottom w:val="nil"/>
            </w:tcBorders>
          </w:tcPr>
          <w:p w14:paraId="5B66106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Администратору необходим детализированный журнал с возможностью фильтрации и поиска.</w:t>
            </w:r>
          </w:p>
        </w:tc>
        <w:tc>
          <w:tcPr>
            <w:tcW w:w="720" w:type="dxa"/>
            <w:tcBorders>
              <w:bottom w:val="nil"/>
            </w:tcBorders>
          </w:tcPr>
          <w:p w14:paraId="758FD59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2A021F6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Для контрольного журнала каждая комбинация фильтров возвращает те же записи, что и эталонный запрос к БД; поиск по отправителю находит все записи этого отправителя.</w:t>
            </w:r>
          </w:p>
        </w:tc>
      </w:tr>
    </w:tbl>
    <w:p w14:paraId="620340BD" w14:textId="31D78D18" w:rsidR="001051EC" w:rsidRDefault="001051EC"/>
    <w:p w14:paraId="354CA3EB" w14:textId="58392BD0" w:rsidR="001051EC" w:rsidRDefault="001051EC"/>
    <w:p w14:paraId="2452A24E" w14:textId="680DCF17" w:rsidR="001051EC" w:rsidRDefault="001051EC" w:rsidP="001051EC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16E33707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7CF342A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FR-13</w:t>
            </w:r>
          </w:p>
        </w:tc>
        <w:tc>
          <w:tcPr>
            <w:tcW w:w="540" w:type="dxa"/>
            <w:textDirection w:val="tbRl"/>
          </w:tcPr>
          <w:p w14:paraId="1B513745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15C21ED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Просмотр деталей инцидента</w:t>
            </w:r>
          </w:p>
        </w:tc>
        <w:tc>
          <w:tcPr>
            <w:tcW w:w="2520" w:type="dxa"/>
          </w:tcPr>
          <w:p w14:paraId="53270B7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отображать детали инцидента: отправитель, получатель, канал, время, тип данных, фрагмент, сработавшее правило и применённые проверки.</w:t>
            </w:r>
          </w:p>
        </w:tc>
        <w:tc>
          <w:tcPr>
            <w:tcW w:w="1260" w:type="dxa"/>
          </w:tcPr>
          <w:p w14:paraId="1BEF550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</w:t>
            </w:r>
          </w:p>
        </w:tc>
        <w:tc>
          <w:tcPr>
            <w:tcW w:w="1620" w:type="dxa"/>
          </w:tcPr>
          <w:p w14:paraId="479ED3D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 должен видеть, кто отправил, куда, какие данные и когда, чтобы разобрать инцидент.</w:t>
            </w:r>
          </w:p>
        </w:tc>
        <w:tc>
          <w:tcPr>
            <w:tcW w:w="720" w:type="dxa"/>
          </w:tcPr>
          <w:p w14:paraId="33321CE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248B811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Для выбранного инцидента отображены все перечисленные элементы.</w:t>
            </w:r>
          </w:p>
        </w:tc>
      </w:tr>
      <w:tr w:rsidR="00F84ED4" w14:paraId="69ACA190" w14:textId="77777777" w:rsidTr="00F84ED4">
        <w:trPr>
          <w:cantSplit/>
          <w:trHeight w:val="1134"/>
        </w:trPr>
        <w:tc>
          <w:tcPr>
            <w:tcW w:w="535" w:type="dxa"/>
          </w:tcPr>
          <w:p w14:paraId="25C2D6D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FR-14</w:t>
            </w:r>
          </w:p>
        </w:tc>
        <w:tc>
          <w:tcPr>
            <w:tcW w:w="540" w:type="dxa"/>
            <w:textDirection w:val="tbRl"/>
          </w:tcPr>
          <w:p w14:paraId="3EB7F08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31928A3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Панель текущих инцидентов в реальном времени</w:t>
            </w:r>
          </w:p>
        </w:tc>
        <w:tc>
          <w:tcPr>
            <w:tcW w:w="2520" w:type="dxa"/>
          </w:tcPr>
          <w:p w14:paraId="5DCE05E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отображать на панели текущих инцидентов новые инциденты без ручной перезагрузки страницы не позднее 5 секунд после их регистрации в журнале.</w:t>
            </w:r>
          </w:p>
        </w:tc>
        <w:tc>
          <w:tcPr>
            <w:tcW w:w="1260" w:type="dxa"/>
          </w:tcPr>
          <w:p w14:paraId="43C61EA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</w:t>
            </w:r>
          </w:p>
        </w:tc>
        <w:tc>
          <w:tcPr>
            <w:tcW w:w="1620" w:type="dxa"/>
          </w:tcPr>
          <w:p w14:paraId="2293BAE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Цель системы — реагирование в порядке секунд вместо обнаружения постфактум (таблица 5 первичного анализа).</w:t>
            </w:r>
          </w:p>
        </w:tc>
        <w:tc>
          <w:tcPr>
            <w:tcW w:w="720" w:type="dxa"/>
          </w:tcPr>
          <w:p w14:paraId="1876D50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21D7AA4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При генерации 10 инцидентов интервал от записи в журнал до появления на панели не превышает 5 с для каждого.</w:t>
            </w:r>
          </w:p>
        </w:tc>
      </w:tr>
      <w:tr w:rsidR="00F84ED4" w14:paraId="2AF0D858" w14:textId="77777777" w:rsidTr="00F84ED4">
        <w:trPr>
          <w:cantSplit/>
          <w:trHeight w:val="1134"/>
        </w:trPr>
        <w:tc>
          <w:tcPr>
            <w:tcW w:w="535" w:type="dxa"/>
          </w:tcPr>
          <w:p w14:paraId="1EBEF27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FR-15</w:t>
            </w:r>
          </w:p>
        </w:tc>
        <w:tc>
          <w:tcPr>
            <w:tcW w:w="540" w:type="dxa"/>
            <w:textDirection w:val="tbRl"/>
          </w:tcPr>
          <w:p w14:paraId="1E69BC2B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596482C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Отметка статуса обработки инцидента</w:t>
            </w:r>
          </w:p>
        </w:tc>
        <w:tc>
          <w:tcPr>
            <w:tcW w:w="2520" w:type="dxa"/>
          </w:tcPr>
          <w:p w14:paraId="7FF9FF3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позволять администратору устанавливать статус обработки инцидента («новый», «просмотрен», «подтверждён», «ложное срабатывание») и добавлять комментарий, сохраняя отметку отдельной записью с указанием автора и времени без изменения исходной записи журнала.</w:t>
            </w:r>
          </w:p>
        </w:tc>
        <w:tc>
          <w:tcPr>
            <w:tcW w:w="1260" w:type="dxa"/>
          </w:tcPr>
          <w:p w14:paraId="34C16CB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StH-03</w:t>
            </w:r>
          </w:p>
        </w:tc>
        <w:tc>
          <w:tcPr>
            <w:tcW w:w="1620" w:type="dxa"/>
          </w:tcPr>
          <w:p w14:paraId="7B73E90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Позволяет разбирать инциденты и оценивать ложные срабатывания на практике, не нарушая неизменность журнала.</w:t>
            </w:r>
          </w:p>
        </w:tc>
        <w:tc>
          <w:tcPr>
            <w:tcW w:w="720" w:type="dxa"/>
          </w:tcPr>
          <w:p w14:paraId="28BF1E1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46F11CF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 и инспекция. После установки статуса значения полей исходной записи не изменились; отметка хранится отдельно с автором и временем.</w:t>
            </w:r>
          </w:p>
        </w:tc>
      </w:tr>
      <w:tr w:rsidR="00F84ED4" w14:paraId="1D932F87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74A86CA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FR-16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7C5E185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0D8A63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Оповещение администратора по 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  <w:r>
              <w:rPr>
                <w:sz w:val="17"/>
                <w:szCs w:val="17"/>
              </w:rPr>
              <w:t xml:space="preserve"> и в интерфейсе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26E238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отправлять администратору письмо с деталями инцидента (уровень важности, тип данных, канал, время, отправитель, получатель, ссылка на инцидент; фрагмент — только в маскированном виде) при регистрации инцидента критической важности и создавать внутрисистемное уведомление для инцидентов уровней, включённых в настройки уведомлений.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656338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4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402DBE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 должен узнавать о критических событиях без постоянного наблюдения за панелью; внутрисистемное уведомление не зависит от почтовой инфраструктуры; полные данные в письме создавали бы новый канал утечки.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CBB8A1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1AE0F7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Для каждого из 50 критических тестовых инцидентов письмо передано SMTP-серверу (по журналу отправки), содержит перечисленные поля, фрагмент маскирован; уведомление в интерфейсе появляется в срок FR-11. Время передачи письма — по NFR-01.</w:t>
            </w:r>
          </w:p>
        </w:tc>
      </w:tr>
      <w:tr w:rsidR="00F84ED4" w14:paraId="2FB32890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329320D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FR-17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515FA6E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5D93D59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Настройка оповещений по уровням важности</w:t>
            </w:r>
          </w:p>
        </w:tc>
        <w:tc>
          <w:tcPr>
            <w:tcW w:w="2520" w:type="dxa"/>
            <w:tcBorders>
              <w:bottom w:val="nil"/>
            </w:tcBorders>
          </w:tcPr>
          <w:p w14:paraId="0B761FF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Система должна позволять администратору задавать адреса получателей 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  <w:r>
              <w:rPr>
                <w:sz w:val="17"/>
                <w:szCs w:val="17"/>
              </w:rPr>
              <w:t>, каналы оповещения (</w:t>
            </w:r>
            <w:proofErr w:type="spellStart"/>
            <w:r>
              <w:rPr>
                <w:sz w:val="17"/>
                <w:szCs w:val="17"/>
              </w:rPr>
              <w:t>email</w:t>
            </w:r>
            <w:proofErr w:type="spellEnd"/>
            <w:r>
              <w:rPr>
                <w:sz w:val="17"/>
                <w:szCs w:val="17"/>
              </w:rPr>
              <w:t>, внутрисистемное) и порог оповещения — минимальный уровень важности, начиная с которого выполняется оповещение.</w:t>
            </w:r>
          </w:p>
        </w:tc>
        <w:tc>
          <w:tcPr>
            <w:tcW w:w="1260" w:type="dxa"/>
            <w:tcBorders>
              <w:bottom w:val="nil"/>
            </w:tcBorders>
          </w:tcPr>
          <w:p w14:paraId="4DB4B78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2</w:t>
            </w:r>
          </w:p>
        </w:tc>
        <w:tc>
          <w:tcPr>
            <w:tcW w:w="1620" w:type="dxa"/>
            <w:tcBorders>
              <w:bottom w:val="nil"/>
            </w:tcBorders>
          </w:tcPr>
          <w:p w14:paraId="28F1480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 настраивает оповещения по важности, чтобы не пропускать критические события.</w:t>
            </w:r>
          </w:p>
        </w:tc>
        <w:tc>
          <w:tcPr>
            <w:tcW w:w="720" w:type="dxa"/>
            <w:tcBorders>
              <w:bottom w:val="nil"/>
            </w:tcBorders>
          </w:tcPr>
          <w:p w14:paraId="4B64FEC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7C8FB22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При пороге «критический» письма создаются только для критических инцидентов; после смены порога на «средний» — также для средних; изменения действуют без перезапуска системы.</w:t>
            </w:r>
          </w:p>
        </w:tc>
      </w:tr>
    </w:tbl>
    <w:p w14:paraId="47775B22" w14:textId="48EFF461" w:rsidR="0093634D" w:rsidRDefault="0093634D"/>
    <w:p w14:paraId="387EFC97" w14:textId="7AACEE0A" w:rsidR="0093634D" w:rsidRDefault="0093634D"/>
    <w:p w14:paraId="5734F6E2" w14:textId="25F022AE" w:rsidR="0093634D" w:rsidRDefault="0093634D"/>
    <w:p w14:paraId="086F3A3E" w14:textId="2E1A0583" w:rsidR="0093634D" w:rsidRDefault="0093634D"/>
    <w:p w14:paraId="375233C7" w14:textId="6799342E" w:rsidR="0093634D" w:rsidRDefault="0093634D"/>
    <w:p w14:paraId="7B73AF36" w14:textId="2015970A" w:rsidR="0093634D" w:rsidRDefault="0093634D"/>
    <w:p w14:paraId="77502E2D" w14:textId="3AF33391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44BEC131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0727E96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FR-18</w:t>
            </w:r>
          </w:p>
        </w:tc>
        <w:tc>
          <w:tcPr>
            <w:tcW w:w="540" w:type="dxa"/>
            <w:textDirection w:val="tbRl"/>
          </w:tcPr>
          <w:p w14:paraId="21325DD4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24464B1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Управление правилами обнаружения</w:t>
            </w:r>
          </w:p>
        </w:tc>
        <w:tc>
          <w:tcPr>
            <w:tcW w:w="2520" w:type="dxa"/>
          </w:tcPr>
          <w:p w14:paraId="37BB3FE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позволять администратору через веб-интерфейс добавлять, редактировать, включать, отключать и удалять правила обнаружения (регулярные выражения, ключевые слова, словари) с проверкой синтаксиса регулярного выражения и пробной проверкой на тестовой строке до сохранения; изменения должны вступать в силу без перезагрузки системы.</w:t>
            </w:r>
          </w:p>
        </w:tc>
        <w:tc>
          <w:tcPr>
            <w:tcW w:w="1260" w:type="dxa"/>
          </w:tcPr>
          <w:p w14:paraId="258EF0C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4</w:t>
            </w:r>
          </w:p>
        </w:tc>
        <w:tc>
          <w:tcPr>
            <w:tcW w:w="1620" w:type="dxa"/>
          </w:tcPr>
          <w:p w14:paraId="77B90D0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 сам определяет, что считается чувствительными данными; перезагрузка прерывала бы контроль.</w:t>
            </w:r>
          </w:p>
        </w:tc>
        <w:tc>
          <w:tcPr>
            <w:tcW w:w="720" w:type="dxa"/>
          </w:tcPr>
          <w:p w14:paraId="113527C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3F4492C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Добавленное правило срабатывает на следующем тестовом сообщении без остановки перехвата; синтаксически неверное выражение отклоняется с сообщением об ошибке; удалённое правило не срабатывает.</w:t>
            </w:r>
          </w:p>
        </w:tc>
      </w:tr>
      <w:tr w:rsidR="00F84ED4" w14:paraId="2D1A6529" w14:textId="77777777" w:rsidTr="00F84ED4">
        <w:trPr>
          <w:cantSplit/>
          <w:trHeight w:val="1134"/>
        </w:trPr>
        <w:tc>
          <w:tcPr>
            <w:tcW w:w="535" w:type="dxa"/>
          </w:tcPr>
          <w:p w14:paraId="65064EC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FR-19</w:t>
            </w:r>
          </w:p>
        </w:tc>
        <w:tc>
          <w:tcPr>
            <w:tcW w:w="540" w:type="dxa"/>
            <w:textDirection w:val="tbRl"/>
          </w:tcPr>
          <w:p w14:paraId="3E097AF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0CC0336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Срок хранения журналов и автоматическое удаление записей</w:t>
            </w:r>
          </w:p>
        </w:tc>
        <w:tc>
          <w:tcPr>
            <w:tcW w:w="2520" w:type="dxa"/>
          </w:tcPr>
          <w:p w14:paraId="4481853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позволять администратору задавать срок хранения журналов (по умолчанию 31 сутки), не реже одного раза в сутки автоматически удалять записи с истёкшим сроком и фиксировать факт удаления (время, диапазон дат, количество записей) в служебном журнале; иное удаление записей не допускается.</w:t>
            </w:r>
          </w:p>
        </w:tc>
        <w:tc>
          <w:tcPr>
            <w:tcW w:w="1260" w:type="dxa"/>
          </w:tcPr>
          <w:p w14:paraId="37E02D5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StH-03; ч. 7 ст. 5 152-ФЗ; Приказ ФСТЭК № 21 (РСБ.1)</w:t>
            </w:r>
          </w:p>
        </w:tc>
        <w:tc>
          <w:tcPr>
            <w:tcW w:w="1620" w:type="dxa"/>
          </w:tcPr>
          <w:p w14:paraId="2E37B8A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Итоговый срок определяет организация; значение по умолчанию не меньше календарного месяца, чтобы данные для ежемесячного отчёта не удалялись до его формирования; </w:t>
            </w:r>
            <w:proofErr w:type="spellStart"/>
            <w:r>
              <w:rPr>
                <w:sz w:val="17"/>
                <w:szCs w:val="17"/>
              </w:rPr>
              <w:t>ПДн</w:t>
            </w:r>
            <w:proofErr w:type="spellEnd"/>
            <w:r>
              <w:rPr>
                <w:sz w:val="17"/>
                <w:szCs w:val="17"/>
              </w:rPr>
              <w:t xml:space="preserve"> не хранятся дольше целей обработки; ручное удаление нарушило бы неизменность журнала.</w:t>
            </w:r>
          </w:p>
        </w:tc>
        <w:tc>
          <w:tcPr>
            <w:tcW w:w="720" w:type="dxa"/>
          </w:tcPr>
          <w:p w14:paraId="2AB3769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41D896B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 и испытание. Значение по умолчанию — 31 сутки; после изменения срока при очередной очистке удалены записи старше нового срока, в служебном журнале есть запись об удалении; записи в пределах срока сохранены.</w:t>
            </w:r>
          </w:p>
        </w:tc>
      </w:tr>
      <w:tr w:rsidR="00F84ED4" w14:paraId="29FF5450" w14:textId="77777777" w:rsidTr="00F84ED4">
        <w:trPr>
          <w:cantSplit/>
          <w:trHeight w:val="1134"/>
        </w:trPr>
        <w:tc>
          <w:tcPr>
            <w:tcW w:w="535" w:type="dxa"/>
          </w:tcPr>
          <w:p w14:paraId="68A7B3B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FR-20</w:t>
            </w:r>
          </w:p>
        </w:tc>
        <w:tc>
          <w:tcPr>
            <w:tcW w:w="540" w:type="dxa"/>
            <w:textDirection w:val="tbRl"/>
          </w:tcPr>
          <w:p w14:paraId="04A5EA1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6C133FB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Формирование статистики по инцидентам</w:t>
            </w:r>
          </w:p>
        </w:tc>
        <w:tc>
          <w:tcPr>
            <w:tcW w:w="2520" w:type="dxa"/>
          </w:tcPr>
          <w:p w14:paraId="397F250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формировать статистику по инцидентам за выбранный период: количество по типам данных, по каналам передачи и по уровням важности, а также динамику по датам.</w:t>
            </w:r>
          </w:p>
        </w:tc>
        <w:tc>
          <w:tcPr>
            <w:tcW w:w="1260" w:type="dxa"/>
          </w:tcPr>
          <w:p w14:paraId="5DBC01D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StH-02</w:t>
            </w:r>
          </w:p>
        </w:tc>
        <w:tc>
          <w:tcPr>
            <w:tcW w:w="1620" w:type="dxa"/>
          </w:tcPr>
          <w:p w14:paraId="109E6FF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 отчитывается перед руководством; руководителю нужны данные о количестве и характере инцидентов.</w:t>
            </w:r>
          </w:p>
        </w:tc>
        <w:tc>
          <w:tcPr>
            <w:tcW w:w="720" w:type="dxa"/>
          </w:tcPr>
          <w:p w14:paraId="293A23A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3677B8F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 и анализ. Значения статистики за период совпадают с результатами эталонного подсчёта по контрольному журналу (расхождений нет).</w:t>
            </w:r>
          </w:p>
        </w:tc>
      </w:tr>
      <w:tr w:rsidR="00F84ED4" w14:paraId="1E6255C6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3525B9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FR-21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4990006D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46D304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Формирование отчёта в формате PDF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BE14BE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формировать отчёт по инцидентам за выбранный период (в том числе за календарный месяц) в формате PDF, содержащий сводную статистику (FR-20) и перечень инцидентов без фрагментов данных.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D2B089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6F61B0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Руководитель получает ежемесячный отчёт для оценки эффективности защиты; фрагменты данных в отчёт не включаются для минимизации распространения чувствительных данных.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A775A4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FCEDF8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Отчёт за календарный месяц сформирован, открывается в PDF-</w:t>
            </w:r>
            <w:proofErr w:type="spellStart"/>
            <w:r>
              <w:rPr>
                <w:sz w:val="17"/>
                <w:szCs w:val="17"/>
              </w:rPr>
              <w:t>просмотрщике</w:t>
            </w:r>
            <w:proofErr w:type="spellEnd"/>
            <w:r>
              <w:rPr>
                <w:sz w:val="17"/>
                <w:szCs w:val="17"/>
              </w:rPr>
              <w:t>, содержит статистику и перечень инцидентов; фрагменты данных отсутствуют.</w:t>
            </w:r>
          </w:p>
        </w:tc>
      </w:tr>
      <w:tr w:rsidR="00F84ED4" w14:paraId="3E3DA5F5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3D815FF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FR-22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274AD10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7C410A7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Экспорт журнала и статистики в формат XLSX</w:t>
            </w:r>
          </w:p>
        </w:tc>
        <w:tc>
          <w:tcPr>
            <w:tcW w:w="2520" w:type="dxa"/>
            <w:tcBorders>
              <w:bottom w:val="nil"/>
            </w:tcBorders>
          </w:tcPr>
          <w:p w14:paraId="663CA2F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экспортировать журнал инцидентов (с учётом выбранных фильтров) и статистику в файл формата XLSX; фрагменты данных в экспорте по умолчанию маскируются, полные фрагменты доступны только администратору.</w:t>
            </w:r>
          </w:p>
        </w:tc>
        <w:tc>
          <w:tcPr>
            <w:tcW w:w="1260" w:type="dxa"/>
            <w:tcBorders>
              <w:bottom w:val="nil"/>
            </w:tcBorders>
          </w:tcPr>
          <w:p w14:paraId="3F45EA0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StH-03; StH-02; Первичный анализ, «Границы системы»</w:t>
            </w:r>
          </w:p>
        </w:tc>
        <w:tc>
          <w:tcPr>
            <w:tcW w:w="1620" w:type="dxa"/>
            <w:tcBorders>
              <w:bottom w:val="nil"/>
            </w:tcBorders>
          </w:tcPr>
          <w:p w14:paraId="782FDCC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Регулятор вправе запросить данные; экспорт нужен также для отчётности; выдача полных данных ограничивается ролью.</w:t>
            </w:r>
          </w:p>
        </w:tc>
        <w:tc>
          <w:tcPr>
            <w:tcW w:w="720" w:type="dxa"/>
            <w:tcBorders>
              <w:bottom w:val="nil"/>
            </w:tcBorders>
          </w:tcPr>
          <w:p w14:paraId="5F353D5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187E3ED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Экспорт 100 записей даёт файл со 100 строками и полями FR-11; при экспорте пользователем с ролью «наблюдатель» полные фрагменты недоступны.</w:t>
            </w:r>
          </w:p>
        </w:tc>
      </w:tr>
    </w:tbl>
    <w:p w14:paraId="1F0E1F1D" w14:textId="618F4C2D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34E0729D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5E14786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FR-23</w:t>
            </w:r>
          </w:p>
        </w:tc>
        <w:tc>
          <w:tcPr>
            <w:tcW w:w="540" w:type="dxa"/>
            <w:textDirection w:val="tbRl"/>
          </w:tcPr>
          <w:p w14:paraId="525BDD6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294AD93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Аутентификация и разграничение доступа по ролям</w:t>
            </w:r>
          </w:p>
        </w:tc>
        <w:tc>
          <w:tcPr>
            <w:tcW w:w="2520" w:type="dxa"/>
          </w:tcPr>
          <w:p w14:paraId="377D0B4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выполнять аутентификацию пользователей по логину и паролю и разграничивать доступ по ролям: «администратор» (настройка правил, исключений, оповещений и учётных записей, установка статусов, просмотр полных фрагментов, экспорт) и «наблюдатель» (просмотр журнала с маскированными фрагментами, статистики и отчётов), проверяя права на стороне сервера.</w:t>
            </w:r>
          </w:p>
        </w:tc>
        <w:tc>
          <w:tcPr>
            <w:tcW w:w="1260" w:type="dxa"/>
          </w:tcPr>
          <w:p w14:paraId="5326378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620" w:type="dxa"/>
          </w:tcPr>
          <w:p w14:paraId="7C2DDBC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Несанкционированный доступ позволил бы отключить правила и просмотреть инциденты; проверка на сервере исключает обход ограничений прямыми запросами.</w:t>
            </w:r>
          </w:p>
        </w:tc>
        <w:tc>
          <w:tcPr>
            <w:tcW w:w="720" w:type="dxa"/>
          </w:tcPr>
          <w:p w14:paraId="0654A2E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77F95FE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Запросы без аутентификации и с неверным паролем отклоняются; пользователь «наблюдатель» при попытке изменить правило, настройку или статус через интерфейс и прямым запросом к серверу получает отказ, отказ фиксируется в служебном журнале.</w:t>
            </w:r>
          </w:p>
        </w:tc>
      </w:tr>
      <w:tr w:rsidR="00F84ED4" w14:paraId="28ED28D5" w14:textId="77777777" w:rsidTr="00F84ED4">
        <w:trPr>
          <w:cantSplit/>
          <w:trHeight w:val="1134"/>
        </w:trPr>
        <w:tc>
          <w:tcPr>
            <w:tcW w:w="535" w:type="dxa"/>
          </w:tcPr>
          <w:p w14:paraId="2199C14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FR-24</w:t>
            </w:r>
          </w:p>
        </w:tc>
        <w:tc>
          <w:tcPr>
            <w:tcW w:w="540" w:type="dxa"/>
            <w:textDirection w:val="tbRl"/>
          </w:tcPr>
          <w:p w14:paraId="2298D59A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5C4744B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Управление учётными записями</w:t>
            </w:r>
          </w:p>
        </w:tc>
        <w:tc>
          <w:tcPr>
            <w:tcW w:w="2520" w:type="dxa"/>
          </w:tcPr>
          <w:p w14:paraId="3525180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позволять администратору создавать, блокировать и удалять учётные записи пользователей и назначать им роли, а при первом запуске требовать создания учётной записи администратора.</w:t>
            </w:r>
          </w:p>
        </w:tc>
        <w:tc>
          <w:tcPr>
            <w:tcW w:w="1260" w:type="dxa"/>
          </w:tcPr>
          <w:p w14:paraId="6B17605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2</w:t>
            </w:r>
          </w:p>
        </w:tc>
        <w:tc>
          <w:tcPr>
            <w:tcW w:w="1620" w:type="dxa"/>
          </w:tcPr>
          <w:p w14:paraId="7AD7D25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Учётные данные администратора вводятся при настройке; наблюдатели (например, руководитель) получают отдельные учётные записи.</w:t>
            </w:r>
          </w:p>
        </w:tc>
        <w:tc>
          <w:tcPr>
            <w:tcW w:w="720" w:type="dxa"/>
          </w:tcPr>
          <w:p w14:paraId="44ADC48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59583B7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Созданная учётная запись с ролью «наблюдатель» выполняет вход; заблокированная — нет; при первом запуске без учётной записи администратора работа системы не начинается.</w:t>
            </w:r>
          </w:p>
        </w:tc>
      </w:tr>
      <w:tr w:rsidR="00F84ED4" w14:paraId="715D5364" w14:textId="77777777" w:rsidTr="00F84ED4">
        <w:trPr>
          <w:cantSplit/>
          <w:trHeight w:val="1134"/>
        </w:trPr>
        <w:tc>
          <w:tcPr>
            <w:tcW w:w="535" w:type="dxa"/>
          </w:tcPr>
          <w:p w14:paraId="2D44317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FR-25</w:t>
            </w:r>
          </w:p>
        </w:tc>
        <w:tc>
          <w:tcPr>
            <w:tcW w:w="540" w:type="dxa"/>
            <w:textDirection w:val="tbRl"/>
          </w:tcPr>
          <w:p w14:paraId="2C2B9ED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207A7A4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Ведение служебного журнала событий системы</w:t>
            </w:r>
          </w:p>
        </w:tc>
        <w:tc>
          <w:tcPr>
            <w:tcW w:w="2520" w:type="dxa"/>
          </w:tcPr>
          <w:p w14:paraId="15B292A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вести служебный журнал, регистрируя вход и неуспешные попытки входа, изменения правил, исключений и настроек, изменения статусов инцидентов, просмотр немаскированных фрагментов, экспорт и формирование отчётов, автоматическое удаление записей, отказы в доступе и сбои оповещений с указанием времени, пользователя и действия.</w:t>
            </w:r>
          </w:p>
        </w:tc>
        <w:tc>
          <w:tcPr>
            <w:tcW w:w="1260" w:type="dxa"/>
          </w:tcPr>
          <w:p w14:paraId="7EB19AE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StH-03; Приказ ФСТЭК № 21 (РСБ.1)</w:t>
            </w:r>
          </w:p>
        </w:tc>
        <w:tc>
          <w:tcPr>
            <w:tcW w:w="1620" w:type="dxa"/>
          </w:tcPr>
          <w:p w14:paraId="7E8FDE7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Регистрация событий — техническая мера защиты; журнал позволяет установить, кто и когда изменил настройки или просматривал данные.</w:t>
            </w:r>
          </w:p>
        </w:tc>
        <w:tc>
          <w:tcPr>
            <w:tcW w:w="720" w:type="dxa"/>
          </w:tcPr>
          <w:p w14:paraId="7056599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3BB6DD8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После выполнения контрольной последовательности из 10 действий из перечня в служебном журнале присутствуют 10 записей с временем, пользователем и действием.</w:t>
            </w:r>
          </w:p>
        </w:tc>
      </w:tr>
      <w:tr w:rsidR="00F84ED4" w14:paraId="4AD3E16D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24550AE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FR-26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6D8F34C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9E8845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Справка о технических мерах защиты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82AEE7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предоставлять пользователям справку о реализованных технических мерах защиты (регистрация событий, защита журнала от изменения и удаления, разграничение доступа, срок хранения, маскирование фрагментов) с текущими значениями параметров.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20BA07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152-ФЗ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318403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Руководитель учитывает технические меры при организации обработки персональных данных; справка не заменяет оценку соответствия организации требованиям законодательства.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46433E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32919E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Справка содержит перечень мер; отображаемый срок хранения совпадает с настроенным значением.</w:t>
            </w:r>
          </w:p>
        </w:tc>
      </w:tr>
      <w:tr w:rsidR="00F84ED4" w14:paraId="594E3A81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3D7BEE0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FR-27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5666B3A4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3D06908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Контроль состояния подсистемы перехвата</w:t>
            </w:r>
          </w:p>
        </w:tc>
        <w:tc>
          <w:tcPr>
            <w:tcW w:w="2520" w:type="dxa"/>
            <w:tcBorders>
              <w:bottom w:val="nil"/>
            </w:tcBorders>
          </w:tcPr>
          <w:p w14:paraId="3FE2EE0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регистрировать в служебном журнале и отображать администратору события потери пакетов, переполнения очереди анализа и остановки службы перехвата.</w:t>
            </w:r>
          </w:p>
        </w:tc>
        <w:tc>
          <w:tcPr>
            <w:tcW w:w="1260" w:type="dxa"/>
            <w:tcBorders>
              <w:bottom w:val="nil"/>
            </w:tcBorders>
          </w:tcPr>
          <w:p w14:paraId="7FD310E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620" w:type="dxa"/>
            <w:tcBorders>
              <w:bottom w:val="nil"/>
            </w:tcBorders>
          </w:tcPr>
          <w:p w14:paraId="5F3B95B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 перегрузке система может пропускать трафик, создавая иллюзию защиты; администратор должен знать об этом.</w:t>
            </w:r>
          </w:p>
        </w:tc>
        <w:tc>
          <w:tcPr>
            <w:tcW w:w="720" w:type="dxa"/>
            <w:tcBorders>
              <w:bottom w:val="nil"/>
            </w:tcBorders>
          </w:tcPr>
          <w:p w14:paraId="0BEBE28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735D31D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При перегрузке стенда сверх значения NFR-03 или остановке службы перехвата в служебном журнале создана запись, на панели отображено предупреждение.</w:t>
            </w:r>
          </w:p>
        </w:tc>
      </w:tr>
    </w:tbl>
    <w:p w14:paraId="516A4C76" w14:textId="76043D34" w:rsidR="0093634D" w:rsidRDefault="0093634D"/>
    <w:p w14:paraId="1BACFB24" w14:textId="562B424F" w:rsidR="0093634D" w:rsidRDefault="0093634D"/>
    <w:p w14:paraId="549BAD4F" w14:textId="5F0281CF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74F8D396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29275DA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FR-28</w:t>
            </w:r>
          </w:p>
        </w:tc>
        <w:tc>
          <w:tcPr>
            <w:tcW w:w="540" w:type="dxa"/>
            <w:textDirection w:val="tbRl"/>
          </w:tcPr>
          <w:p w14:paraId="663F9924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30E2E80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Блокировка передач и поведенческая аналитика</w:t>
            </w:r>
          </w:p>
        </w:tc>
        <w:tc>
          <w:tcPr>
            <w:tcW w:w="2520" w:type="dxa"/>
          </w:tcPr>
          <w:p w14:paraId="0BEB0D6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блокировать подозрительные передачи данных и применять поведенческую аналитику и модели машинного обучения для обнаружения утечек.</w:t>
            </w:r>
          </w:p>
        </w:tc>
        <w:tc>
          <w:tcPr>
            <w:tcW w:w="1260" w:type="dxa"/>
          </w:tcPr>
          <w:p w14:paraId="536D4A1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620" w:type="dxa"/>
          </w:tcPr>
          <w:p w14:paraId="22BFED8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Блокировка отнесена к этапу развития и противоречит роли пассивного монитора (CON-01); аналитика и ML исключены границами системы.</w:t>
            </w:r>
          </w:p>
        </w:tc>
        <w:tc>
          <w:tcPr>
            <w:tcW w:w="720" w:type="dxa"/>
          </w:tcPr>
          <w:p w14:paraId="3808557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Won't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32C2C47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 проверяется в данной итерации. Отсутствие блокировки проверяется по CON-01.</w:t>
            </w:r>
          </w:p>
        </w:tc>
      </w:tr>
      <w:tr w:rsidR="00F84ED4" w14:paraId="3273E509" w14:textId="77777777" w:rsidTr="00F84ED4">
        <w:trPr>
          <w:cantSplit/>
          <w:trHeight w:val="329"/>
        </w:trPr>
        <w:tc>
          <w:tcPr>
            <w:tcW w:w="9715" w:type="dxa"/>
            <w:gridSpan w:val="8"/>
            <w:shd w:val="clear" w:color="auto" w:fill="auto"/>
          </w:tcPr>
          <w:p w14:paraId="08DA1C14" w14:textId="77777777" w:rsidR="00F84ED4" w:rsidRDefault="00F84ED4" w:rsidP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Нефункциональные требования (NFR)</w:t>
            </w:r>
          </w:p>
        </w:tc>
      </w:tr>
      <w:tr w:rsidR="00F84ED4" w14:paraId="565CD6C0" w14:textId="77777777" w:rsidTr="00F84ED4">
        <w:trPr>
          <w:cantSplit/>
          <w:trHeight w:val="1134"/>
        </w:trPr>
        <w:tc>
          <w:tcPr>
            <w:tcW w:w="535" w:type="dxa"/>
          </w:tcPr>
          <w:p w14:paraId="232665D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NFR-01</w:t>
            </w:r>
          </w:p>
        </w:tc>
        <w:tc>
          <w:tcPr>
            <w:tcW w:w="540" w:type="dxa"/>
            <w:textDirection w:val="tbRl"/>
          </w:tcPr>
          <w:p w14:paraId="131D74D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</w:tcPr>
          <w:p w14:paraId="6C19565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Время регистрации инцидента и оповещения</w:t>
            </w:r>
          </w:p>
        </w:tc>
        <w:tc>
          <w:tcPr>
            <w:tcW w:w="2520" w:type="dxa"/>
          </w:tcPr>
          <w:p w14:paraId="231244D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регистрировать инцидент в журнале и передавать письмо об инциденте критической важности почтовому серверу не позднее 5 секунд с момента получения сообщения системой при нагрузке в пределах NFR-03.</w:t>
            </w:r>
          </w:p>
        </w:tc>
        <w:tc>
          <w:tcPr>
            <w:tcW w:w="1260" w:type="dxa"/>
          </w:tcPr>
          <w:p w14:paraId="0EE6A71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таблицы 4–5</w:t>
            </w:r>
          </w:p>
        </w:tc>
        <w:tc>
          <w:tcPr>
            <w:tcW w:w="1620" w:type="dxa"/>
          </w:tcPr>
          <w:p w14:paraId="41A615A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Цель — реагирование в порядке секунд вместо обнаружения постфактум; 5 с </w:t>
            </w:r>
            <w:proofErr w:type="gramStart"/>
            <w:r>
              <w:rPr>
                <w:sz w:val="17"/>
                <w:szCs w:val="17"/>
              </w:rPr>
              <w:t>принято</w:t>
            </w:r>
            <w:proofErr w:type="gramEnd"/>
            <w:r>
              <w:rPr>
                <w:sz w:val="17"/>
                <w:szCs w:val="17"/>
              </w:rPr>
              <w:t xml:space="preserve"> как допущение для прототипа.</w:t>
            </w:r>
          </w:p>
        </w:tc>
        <w:tc>
          <w:tcPr>
            <w:tcW w:w="720" w:type="dxa"/>
          </w:tcPr>
          <w:p w14:paraId="1B993C6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60AFE12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На контрольном наборе из 50 сообщений с чувствительными данными для каждого сообщения интервал от получения данных системой до записи в журнал и до передачи письма почтовому серверу (по меткам времени) не превышает 5 с. Доставка получателю в критерий не входит.</w:t>
            </w:r>
          </w:p>
        </w:tc>
      </w:tr>
      <w:tr w:rsidR="00F84ED4" w14:paraId="323689FD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2A7783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2DBAAD9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DA35A9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Время отклика интерфейса и формирования отчёта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2ED83F8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Веб-интерфейс должен отображать страницу журнала инцидентов с применёнными фильтрами не более чем за 3 секунды в 95 % запросов, а отчёт за календарный месяц формироваться не более чем за 30 секунд при объёме журнала 100 000 записей.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90A200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47C257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 работает с журналом интерактивно; ожидание разового отчёта до 30 с допустимо; значения — допущения для прототипа (таблица В.6).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39B5BCB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C158FB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Из 100 запросов с разными фильтрами при 100 000 записей не менее 95 выполнены за 3 с или быстрее; для каждого из 5 запусков формирования отчёта за месяц время не превышает 30 с.</w:t>
            </w:r>
          </w:p>
        </w:tc>
      </w:tr>
      <w:tr w:rsidR="00F84ED4" w14:paraId="318BBC0F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71587F1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NFR-03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6B10301A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  <w:tcBorders>
              <w:bottom w:val="nil"/>
            </w:tcBorders>
          </w:tcPr>
          <w:p w14:paraId="67124FC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Пропускная способность анализа</w:t>
            </w:r>
          </w:p>
        </w:tc>
        <w:tc>
          <w:tcPr>
            <w:tcW w:w="2520" w:type="dxa"/>
            <w:tcBorders>
              <w:bottom w:val="nil"/>
            </w:tcBorders>
          </w:tcPr>
          <w:p w14:paraId="448C5D2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анализировать поток сетевого трафика до 10 Мбит/с без потери перехваченных сообщений и с соблюдением NFR-01.</w:t>
            </w:r>
          </w:p>
        </w:tc>
        <w:tc>
          <w:tcPr>
            <w:tcW w:w="1260" w:type="dxa"/>
            <w:tcBorders>
              <w:bottom w:val="nil"/>
            </w:tcBorders>
          </w:tcPr>
          <w:p w14:paraId="57DDF69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620" w:type="dxa"/>
            <w:tcBorders>
              <w:bottom w:val="nil"/>
            </w:tcBorders>
          </w:tcPr>
          <w:p w14:paraId="794A91E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Высокая нагрузка на сетевой интерфейс — риск отказов; значение — допущение для небольшой офисной сети и подлежит уточнению.</w:t>
            </w:r>
          </w:p>
        </w:tc>
        <w:tc>
          <w:tcPr>
            <w:tcW w:w="720" w:type="dxa"/>
            <w:tcBorders>
              <w:bottom w:val="nil"/>
            </w:tcBorders>
          </w:tcPr>
          <w:p w14:paraId="3CCCB6A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14879C8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Генератор создаёт трафик 10 Мбит/с в течение 10 минут с добавлением контрольных сообщений; все контрольные сообщения обнаружены, счётчик потерянных сообщений равен 0.</w:t>
            </w:r>
          </w:p>
        </w:tc>
      </w:tr>
    </w:tbl>
    <w:p w14:paraId="7E3AD8BB" w14:textId="32998BC6" w:rsidR="0093634D" w:rsidRDefault="0093634D"/>
    <w:p w14:paraId="4793FEED" w14:textId="13A79554" w:rsidR="0093634D" w:rsidRDefault="0093634D"/>
    <w:p w14:paraId="1F187915" w14:textId="08E9CBA3" w:rsidR="0093634D" w:rsidRDefault="0093634D"/>
    <w:p w14:paraId="0C35D7C0" w14:textId="08A2A8AF" w:rsidR="0093634D" w:rsidRDefault="0093634D"/>
    <w:p w14:paraId="632E036F" w14:textId="7746AC90" w:rsidR="0093634D" w:rsidRDefault="0093634D"/>
    <w:p w14:paraId="6D56F816" w14:textId="3C7853DC" w:rsidR="0093634D" w:rsidRDefault="0093634D"/>
    <w:p w14:paraId="6F36001A" w14:textId="5DDD4230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6EDF4A44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58BA51F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NFR-04</w:t>
            </w:r>
          </w:p>
        </w:tc>
        <w:tc>
          <w:tcPr>
            <w:tcW w:w="540" w:type="dxa"/>
            <w:textDirection w:val="tbRl"/>
          </w:tcPr>
          <w:p w14:paraId="7EE6FAEB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</w:tcPr>
          <w:p w14:paraId="7E34FE2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Отсутствие влияния на передачу контролируемого трафика</w:t>
            </w:r>
          </w:p>
        </w:tc>
        <w:tc>
          <w:tcPr>
            <w:tcW w:w="2520" w:type="dxa"/>
          </w:tcPr>
          <w:p w14:paraId="520831C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работать с копией трафика или событиями и не увеличивать время двусторонней передачи (RTT) контролируемого трафика более чем на 5 % по сравнению с работой без системы.</w:t>
            </w:r>
          </w:p>
        </w:tc>
        <w:tc>
          <w:tcPr>
            <w:tcW w:w="1260" w:type="dxa"/>
          </w:tcPr>
          <w:p w14:paraId="1F6B98D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620" w:type="dxa"/>
          </w:tcPr>
          <w:p w14:paraId="7DD3EE6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Пассивный монитор не должен замедлять сеть; значение допуска — допущение (таблица В.6).</w:t>
            </w:r>
          </w:p>
        </w:tc>
        <w:tc>
          <w:tcPr>
            <w:tcW w:w="720" w:type="dxa"/>
          </w:tcPr>
          <w:p w14:paraId="466E1EB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099D33F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Испытание и инспекция. Схема подключения предусматривает </w:t>
            </w:r>
            <w:proofErr w:type="spellStart"/>
            <w:r>
              <w:rPr>
                <w:sz w:val="17"/>
                <w:szCs w:val="17"/>
              </w:rPr>
              <w:t>зеркалирование</w:t>
            </w:r>
            <w:proofErr w:type="spellEnd"/>
            <w:r>
              <w:rPr>
                <w:sz w:val="17"/>
                <w:szCs w:val="17"/>
              </w:rPr>
              <w:t xml:space="preserve"> порта или получение событий от прокси; среднее значение RTT по 30 измерениям с включённой системой отличается от значения без системы не более чем на 5 %.</w:t>
            </w:r>
          </w:p>
        </w:tc>
      </w:tr>
      <w:tr w:rsidR="00F84ED4" w14:paraId="4D82297A" w14:textId="77777777" w:rsidTr="00F84ED4">
        <w:trPr>
          <w:cantSplit/>
          <w:trHeight w:val="1134"/>
        </w:trPr>
        <w:tc>
          <w:tcPr>
            <w:tcW w:w="535" w:type="dxa"/>
          </w:tcPr>
          <w:p w14:paraId="0731141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NFR-05</w:t>
            </w:r>
          </w:p>
        </w:tc>
        <w:tc>
          <w:tcPr>
            <w:tcW w:w="540" w:type="dxa"/>
            <w:textDirection w:val="tbRl"/>
          </w:tcPr>
          <w:p w14:paraId="00DD1DF7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</w:tcPr>
          <w:p w14:paraId="3DD32B2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Сохранность записей при сбоях</w:t>
            </w:r>
          </w:p>
        </w:tc>
        <w:tc>
          <w:tcPr>
            <w:tcW w:w="2520" w:type="dxa"/>
          </w:tcPr>
          <w:p w14:paraId="692B474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сохранять все записи журнала, подтверждённые как зарегистрированные, при аварийном завершении процессов системы и перезагрузке сервера, а после перезапуска возобновлять работу службы перехвата без вмешательства администратора.</w:t>
            </w:r>
          </w:p>
        </w:tc>
        <w:tc>
          <w:tcPr>
            <w:tcW w:w="1260" w:type="dxa"/>
          </w:tcPr>
          <w:p w14:paraId="3C59E7A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StH-03; StH-01</w:t>
            </w:r>
          </w:p>
        </w:tc>
        <w:tc>
          <w:tcPr>
            <w:tcW w:w="1620" w:type="dxa"/>
          </w:tcPr>
          <w:p w14:paraId="6019A7D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Потеря записей лишает журнал доказательственной ценности и нарушает контроль.</w:t>
            </w:r>
          </w:p>
        </w:tc>
        <w:tc>
          <w:tcPr>
            <w:tcW w:w="720" w:type="dxa"/>
          </w:tcPr>
          <w:p w14:paraId="5349EF8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5677D06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После регистрации 50 инцидентов процессы системы принудительно завершаются и сервер перезагружается; после запуска все 50 записей присутствуют, служба перехвата запущена автоматически.</w:t>
            </w:r>
          </w:p>
        </w:tc>
      </w:tr>
      <w:tr w:rsidR="00F84ED4" w14:paraId="1517C6AB" w14:textId="77777777" w:rsidTr="00F84ED4">
        <w:trPr>
          <w:cantSplit/>
          <w:trHeight w:val="1134"/>
        </w:trPr>
        <w:tc>
          <w:tcPr>
            <w:tcW w:w="535" w:type="dxa"/>
          </w:tcPr>
          <w:p w14:paraId="157DFA0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NFR-06</w:t>
            </w:r>
          </w:p>
        </w:tc>
        <w:tc>
          <w:tcPr>
            <w:tcW w:w="540" w:type="dxa"/>
            <w:textDirection w:val="tbRl"/>
          </w:tcPr>
          <w:p w14:paraId="1CEE783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</w:tcPr>
          <w:p w14:paraId="03860E3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Резервное копирование и восстановление</w:t>
            </w:r>
          </w:p>
        </w:tc>
        <w:tc>
          <w:tcPr>
            <w:tcW w:w="2520" w:type="dxa"/>
          </w:tcPr>
          <w:p w14:paraId="48DB93E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выполнять резервное копирование БД (правила, настройки, журналы) не реже одного раза в сутки и обеспечивать восстановление из резервной копии.</w:t>
            </w:r>
          </w:p>
        </w:tc>
        <w:tc>
          <w:tcPr>
            <w:tcW w:w="1260" w:type="dxa"/>
          </w:tcPr>
          <w:p w14:paraId="2AC66C9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620" w:type="dxa"/>
          </w:tcPr>
          <w:p w14:paraId="1940F55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Без резервного копирования отказ БД приводит к потере истории и конфигурации; периодичность — допущение (таблица В.6).</w:t>
            </w:r>
          </w:p>
        </w:tc>
        <w:tc>
          <w:tcPr>
            <w:tcW w:w="720" w:type="dxa"/>
          </w:tcPr>
          <w:p w14:paraId="6C10B03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5745353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Восстановление на чистом стенде из резервной копии: число записей и значения настроек совпадают с состоянием на момент копирования.</w:t>
            </w:r>
          </w:p>
        </w:tc>
      </w:tr>
      <w:tr w:rsidR="00F84ED4" w14:paraId="77E5B158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C2D445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NFR-07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7FA4B777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D1F50F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Повтор передачи оповещений при сбое почтового сервера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571A33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при недоступности почтового сервера повторять передачу письма не менее 3 раз с интервалом 60 секунд, а при неуспехе фиксировать сбой в служебном журнале и формировать внутрисистемное уведомление. Повторные попытки в интервал NFR-01 не входят.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3904C1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1C36AD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Инцидент не должен оставаться без оповещения из-за сбоя внешней инфраструктуры; значения — допущение (таблица В.6).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20E6903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836C30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Тестовый SMTP-сервер отключён; инцидент зарегистрирован, по журналу отправки выполнено не менее 3 попыток, после неуспеха созданы запись в служебном журнале и внутрисистемное уведомление; после включения сервера новые оповещения передаются.</w:t>
            </w:r>
          </w:p>
        </w:tc>
      </w:tr>
      <w:tr w:rsidR="00F84ED4" w14:paraId="31A70350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41D1853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NFR-08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1DEF64F8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  <w:tcBorders>
              <w:bottom w:val="nil"/>
            </w:tcBorders>
          </w:tcPr>
          <w:p w14:paraId="0401527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Хранение паролей в виде хэшей</w:t>
            </w:r>
          </w:p>
        </w:tc>
        <w:tc>
          <w:tcPr>
            <w:tcW w:w="2520" w:type="dxa"/>
            <w:tcBorders>
              <w:bottom w:val="nil"/>
            </w:tcBorders>
          </w:tcPr>
          <w:p w14:paraId="41C566F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хранить пароли пользователей только в виде хэшей, вычисленных адаптивной функцией хэширования с индивидуальной солью для каждой записи; пароли в открытом виде не хранятся и не записываются в журналы.</w:t>
            </w:r>
          </w:p>
        </w:tc>
        <w:tc>
          <w:tcPr>
            <w:tcW w:w="1260" w:type="dxa"/>
            <w:tcBorders>
              <w:bottom w:val="nil"/>
            </w:tcBorders>
          </w:tcPr>
          <w:p w14:paraId="4D0AD88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2</w:t>
            </w:r>
          </w:p>
        </w:tc>
        <w:tc>
          <w:tcPr>
            <w:tcW w:w="1620" w:type="dxa"/>
            <w:tcBorders>
              <w:bottom w:val="nil"/>
            </w:tcBorders>
          </w:tcPr>
          <w:p w14:paraId="3420CC7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Учётные данные хранятся в собственной БД (хэш пароля); компрометация БД не должна раскрывать пароли.</w:t>
            </w:r>
          </w:p>
        </w:tc>
        <w:tc>
          <w:tcPr>
            <w:tcW w:w="720" w:type="dxa"/>
            <w:tcBorders>
              <w:bottom w:val="nil"/>
            </w:tcBorders>
          </w:tcPr>
          <w:p w14:paraId="6950D7E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5D76CD1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В таблице учётных записей и в журналах пароли в открытом виде отсутствуют; у двух учётных записей с одинаковым паролем значения хэшей различаются.</w:t>
            </w:r>
          </w:p>
        </w:tc>
      </w:tr>
    </w:tbl>
    <w:p w14:paraId="0C41225A" w14:textId="6B789A32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0736F485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6F36D59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NFR-09</w:t>
            </w:r>
          </w:p>
        </w:tc>
        <w:tc>
          <w:tcPr>
            <w:tcW w:w="540" w:type="dxa"/>
            <w:textDirection w:val="tbRl"/>
          </w:tcPr>
          <w:p w14:paraId="25AE327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26D3DDD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Неизменность журналов</w:t>
            </w:r>
          </w:p>
        </w:tc>
        <w:tc>
          <w:tcPr>
            <w:tcW w:w="2520" w:type="dxa"/>
          </w:tcPr>
          <w:p w14:paraId="28F1972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защищать журнал инцидентов и служебный журнал от изменения и удаления: интерфейс и программные интерфейсы не должны содержать операций изменения и удаления записей, учётная запись приложения в БД не должна иметь прав на изменение и удаление записей журналов, а очистка по сроку (FR-19) должна выполняться отдельным служебным процессом.</w:t>
            </w:r>
          </w:p>
        </w:tc>
        <w:tc>
          <w:tcPr>
            <w:tcW w:w="1260" w:type="dxa"/>
          </w:tcPr>
          <w:p w14:paraId="5740B98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StH-03; Приказ ФСТЭК № 21 (РСБ.7)</w:t>
            </w:r>
          </w:p>
        </w:tc>
        <w:tc>
          <w:tcPr>
            <w:tcW w:w="1620" w:type="dxa"/>
          </w:tcPr>
          <w:p w14:paraId="6919CA9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Защита информации о событиях безопасности от модификации и удаления сохраняет доказательственную ценность записей.</w:t>
            </w:r>
          </w:p>
        </w:tc>
        <w:tc>
          <w:tcPr>
            <w:tcW w:w="720" w:type="dxa"/>
          </w:tcPr>
          <w:p w14:paraId="1D7D708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7051A51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 и инспекция. Попытки изменить или удалить запись через интерфейс, программный интерфейс и учётную запись приложения отклоняются, попытки регистрируются в служебном журнале; права учётной записи приложения в БД проверены осмотром.</w:t>
            </w:r>
          </w:p>
        </w:tc>
      </w:tr>
      <w:tr w:rsidR="00F84ED4" w14:paraId="629B06BD" w14:textId="77777777" w:rsidTr="00F84ED4">
        <w:trPr>
          <w:cantSplit/>
          <w:trHeight w:val="1134"/>
        </w:trPr>
        <w:tc>
          <w:tcPr>
            <w:tcW w:w="535" w:type="dxa"/>
          </w:tcPr>
          <w:p w14:paraId="624F365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NFR-10</w:t>
            </w:r>
          </w:p>
        </w:tc>
        <w:tc>
          <w:tcPr>
            <w:tcW w:w="540" w:type="dxa"/>
            <w:textDirection w:val="tbRl"/>
          </w:tcPr>
          <w:p w14:paraId="13E52910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596502C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Защита хранимых фрагментов данных</w:t>
            </w:r>
          </w:p>
        </w:tc>
        <w:tc>
          <w:tcPr>
            <w:tcW w:w="2520" w:type="dxa"/>
          </w:tcPr>
          <w:p w14:paraId="1328A6C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хранить фрагменты данных в БД в зашифрованном виде (ключ хранится вне БД) и отображать их пользователю с ролью «наблюдатель», в письмах и по умолчанию в экспорте только в маскированном виде: символы значения, кроме последних четырёх, заменяются на «*».</w:t>
            </w:r>
          </w:p>
        </w:tc>
        <w:tc>
          <w:tcPr>
            <w:tcW w:w="1260" w:type="dxa"/>
          </w:tcPr>
          <w:p w14:paraId="1993A86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StH-02; Первичный анализ, табл. 3; ст. 5 152-ФЗ</w:t>
            </w:r>
          </w:p>
        </w:tc>
        <w:tc>
          <w:tcPr>
            <w:tcW w:w="1620" w:type="dxa"/>
          </w:tcPr>
          <w:p w14:paraId="50B0CF3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 компрометации БД злоумышленник не должен получать паспортные данные и телефоны в открытом виде.</w:t>
            </w:r>
          </w:p>
        </w:tc>
        <w:tc>
          <w:tcPr>
            <w:tcW w:w="720" w:type="dxa"/>
          </w:tcPr>
          <w:p w14:paraId="2A0A294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62DD65E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 и испытание. При прямом просмотре таблицы БД фрагмент не читается; пользователь с ролью «наблюдатель» видит маскированное значение; ключ шифрования отсутствует в БД и в журналах.</w:t>
            </w:r>
          </w:p>
        </w:tc>
      </w:tr>
      <w:tr w:rsidR="00F84ED4" w14:paraId="2A316F09" w14:textId="77777777" w:rsidTr="00F84ED4">
        <w:trPr>
          <w:cantSplit/>
          <w:trHeight w:val="1134"/>
        </w:trPr>
        <w:tc>
          <w:tcPr>
            <w:tcW w:w="535" w:type="dxa"/>
          </w:tcPr>
          <w:p w14:paraId="705E66D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NFR-11</w:t>
            </w:r>
          </w:p>
        </w:tc>
        <w:tc>
          <w:tcPr>
            <w:tcW w:w="540" w:type="dxa"/>
            <w:textDirection w:val="tbRl"/>
          </w:tcPr>
          <w:p w14:paraId="709CFCD5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519C5B6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Защищённый доступ к веб-интерфейсу</w:t>
            </w:r>
          </w:p>
        </w:tc>
        <w:tc>
          <w:tcPr>
            <w:tcW w:w="2520" w:type="dxa"/>
          </w:tcPr>
          <w:p w14:paraId="766B918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предоставлять веб-интерфейс только по протоколу HTTPS (TLS), не обслуживая запросы по HTTP (допускается перенаправление), и блокировать вход учётной записи на 15 минут после 5 подряд неуспешных попыток аутентификации, регистрируя блокировку в служебном журнале.</w:t>
            </w:r>
          </w:p>
        </w:tc>
        <w:tc>
          <w:tcPr>
            <w:tcW w:w="1260" w:type="dxa"/>
          </w:tcPr>
          <w:p w14:paraId="17B9CAD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620" w:type="dxa"/>
          </w:tcPr>
          <w:p w14:paraId="4DA7974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Учётные данные и данные об инцидентах не должны передаваться открытым текстом; блокировка снижает риск подбора пароля; значения — допущение (таблица В.6).</w:t>
            </w:r>
          </w:p>
        </w:tc>
        <w:tc>
          <w:tcPr>
            <w:tcW w:w="720" w:type="dxa"/>
          </w:tcPr>
          <w:p w14:paraId="31649F8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7C497C4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Запрос по HTTP приводит к перенаправлению на HTTPS или отказу, данные входа открытым текстом не обнаруживаются; после 5 неверных попыток вход с верным паролем в течение 15 минут отклоняется, запись о блокировке есть в служебном журнале.</w:t>
            </w:r>
          </w:p>
        </w:tc>
      </w:tr>
      <w:tr w:rsidR="00F84ED4" w14:paraId="76166EE9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57D6B6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778F5FE1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Объяснимость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25E43C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Объяснимость срабатывания правил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055B320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для каждого инцидента сохранять и отображать идентификатор сработавшего правила и перечень применённых контекстных проверок с результатом каждой (контрольная сумма, маркер, исключение).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69B701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табл. 3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4270C1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Чтобы настраивать правила и разбирать ложные срабатывания, администратор должен видеть причину срабатывания.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908FA3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873307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Для каждого инцидента контрольного набора отображаются правило и результаты проверок.</w:t>
            </w:r>
          </w:p>
        </w:tc>
      </w:tr>
      <w:tr w:rsidR="00F84ED4" w14:paraId="0814AE91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55A9D74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NFR-13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6FB3C721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Масштабируемость</w:t>
            </w:r>
          </w:p>
        </w:tc>
        <w:tc>
          <w:tcPr>
            <w:tcW w:w="900" w:type="dxa"/>
            <w:tcBorders>
              <w:bottom w:val="nil"/>
            </w:tcBorders>
          </w:tcPr>
          <w:p w14:paraId="5EEB3A1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Работа с журналом объёмом до 100 000 записей</w:t>
            </w:r>
          </w:p>
        </w:tc>
        <w:tc>
          <w:tcPr>
            <w:tcW w:w="2520" w:type="dxa"/>
            <w:tcBorders>
              <w:bottom w:val="nil"/>
            </w:tcBorders>
          </w:tcPr>
          <w:p w14:paraId="012177E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хранение журнала объёмом до 100 000 записей и работу с ним (просмотр, фильтрация, поиск, отчёты) без ошибок и с соблюдением NFR-02 и NFR-02.</w:t>
            </w:r>
          </w:p>
        </w:tc>
        <w:tc>
          <w:tcPr>
            <w:tcW w:w="1260" w:type="dxa"/>
            <w:tcBorders>
              <w:bottom w:val="nil"/>
            </w:tcBorders>
          </w:tcPr>
          <w:p w14:paraId="7C028F9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таблицы 4–5</w:t>
            </w:r>
          </w:p>
        </w:tc>
        <w:tc>
          <w:tcPr>
            <w:tcW w:w="1620" w:type="dxa"/>
            <w:tcBorders>
              <w:bottom w:val="nil"/>
            </w:tcBorders>
          </w:tcPr>
          <w:p w14:paraId="094AB10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Ориентировочный объём для испытаний (порядка 100–200 МБ при 1–2 КБ на запись); значение не является порогом удаления записей.</w:t>
            </w:r>
          </w:p>
        </w:tc>
        <w:tc>
          <w:tcPr>
            <w:tcW w:w="720" w:type="dxa"/>
            <w:tcBorders>
              <w:bottom w:val="nil"/>
            </w:tcBorders>
          </w:tcPr>
          <w:p w14:paraId="1176289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7D001AE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После загрузки 100 000 записей просмотр, фильтрация, поиск и формирование отчёта выполняются без ошибок.</w:t>
            </w:r>
          </w:p>
        </w:tc>
      </w:tr>
    </w:tbl>
    <w:p w14:paraId="0CC05CAA" w14:textId="4AAF99D5" w:rsidR="0093634D" w:rsidRDefault="0093634D"/>
    <w:p w14:paraId="4DAD636F" w14:textId="6DB46D5C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6B351EAB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1C79AF6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NFR-14</w:t>
            </w:r>
          </w:p>
        </w:tc>
        <w:tc>
          <w:tcPr>
            <w:tcW w:w="540" w:type="dxa"/>
            <w:textDirection w:val="tbRl"/>
          </w:tcPr>
          <w:p w14:paraId="034A6A7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Удобство использования</w:t>
            </w:r>
          </w:p>
        </w:tc>
        <w:tc>
          <w:tcPr>
            <w:tcW w:w="900" w:type="dxa"/>
          </w:tcPr>
          <w:p w14:paraId="58E2461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Время создания правила обнаружения</w:t>
            </w:r>
          </w:p>
        </w:tc>
        <w:tc>
          <w:tcPr>
            <w:tcW w:w="2520" w:type="dxa"/>
          </w:tcPr>
          <w:p w14:paraId="7BA7E6C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Администратор, знакомый с основами информационной безопасности и изучивший руководство, должен создавать и активировать правило обнаружения (регулярное выражение или словарь) не более чем за 5 минут.</w:t>
            </w:r>
          </w:p>
        </w:tc>
        <w:tc>
          <w:tcPr>
            <w:tcW w:w="1260" w:type="dxa"/>
          </w:tcPr>
          <w:p w14:paraId="734D4BE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«Бизнес-проблема»</w:t>
            </w:r>
          </w:p>
        </w:tc>
        <w:tc>
          <w:tcPr>
            <w:tcW w:w="1620" w:type="dxa"/>
          </w:tcPr>
          <w:p w14:paraId="77653D5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Существующие средства часто сложны в настройке; значение — допущение для прототипа (таблица В.6).</w:t>
            </w:r>
          </w:p>
        </w:tc>
        <w:tc>
          <w:tcPr>
            <w:tcW w:w="720" w:type="dxa"/>
          </w:tcPr>
          <w:p w14:paraId="01F053B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7BC90E4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 (проверка удобства). 3 испытуемых создают и активируют правило по руководству; время каждого не превышает 5 минут.</w:t>
            </w:r>
          </w:p>
        </w:tc>
      </w:tr>
      <w:tr w:rsidR="00F84ED4" w14:paraId="3172F261" w14:textId="77777777" w:rsidTr="0093634D">
        <w:trPr>
          <w:cantSplit/>
          <w:trHeight w:val="1785"/>
        </w:trPr>
        <w:tc>
          <w:tcPr>
            <w:tcW w:w="535" w:type="dxa"/>
          </w:tcPr>
          <w:p w14:paraId="6FE6807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NFR-15</w:t>
            </w:r>
          </w:p>
        </w:tc>
        <w:tc>
          <w:tcPr>
            <w:tcW w:w="540" w:type="dxa"/>
            <w:textDirection w:val="tbRl"/>
          </w:tcPr>
          <w:p w14:paraId="78DBB9FC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Совместимость</w:t>
            </w:r>
          </w:p>
        </w:tc>
        <w:tc>
          <w:tcPr>
            <w:tcW w:w="900" w:type="dxa"/>
          </w:tcPr>
          <w:p w14:paraId="207AE78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Поддержка браузеров</w:t>
            </w:r>
          </w:p>
        </w:tc>
        <w:tc>
          <w:tcPr>
            <w:tcW w:w="2520" w:type="dxa"/>
          </w:tcPr>
          <w:p w14:paraId="26108D3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Веб-интерфейс должен обеспечивать выполнение всех функций пользователей без ошибок в актуальных на дату испытаний стабильных версиях браузеров Google </w:t>
            </w:r>
            <w:proofErr w:type="spellStart"/>
            <w:r>
              <w:rPr>
                <w:sz w:val="17"/>
                <w:szCs w:val="17"/>
              </w:rPr>
              <w:t>Chrome</w:t>
            </w:r>
            <w:proofErr w:type="spellEnd"/>
            <w:r>
              <w:rPr>
                <w:sz w:val="17"/>
                <w:szCs w:val="17"/>
              </w:rPr>
              <w:t>, Mozilla Firefox и Microsoft Edge.</w:t>
            </w:r>
          </w:p>
        </w:tc>
        <w:tc>
          <w:tcPr>
            <w:tcW w:w="1260" w:type="dxa"/>
          </w:tcPr>
          <w:p w14:paraId="640758A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</w:t>
            </w:r>
          </w:p>
        </w:tc>
        <w:tc>
          <w:tcPr>
            <w:tcW w:w="1620" w:type="dxa"/>
          </w:tcPr>
          <w:p w14:paraId="08E0729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Доступ к системе должен быть возможен с рабочих мест организации без установки специального ПО.</w:t>
            </w:r>
          </w:p>
        </w:tc>
        <w:tc>
          <w:tcPr>
            <w:tcW w:w="720" w:type="dxa"/>
          </w:tcPr>
          <w:p w14:paraId="259974C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0B21F9A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Сценарии UC-02, UC-03 и UC-04 выполнены в каждом из трёх браузеров без ошибок.</w:t>
            </w:r>
          </w:p>
        </w:tc>
      </w:tr>
      <w:tr w:rsidR="00F84ED4" w14:paraId="3D608C2F" w14:textId="77777777" w:rsidTr="00F84ED4">
        <w:trPr>
          <w:cantSplit/>
          <w:trHeight w:val="1134"/>
        </w:trPr>
        <w:tc>
          <w:tcPr>
            <w:tcW w:w="535" w:type="dxa"/>
          </w:tcPr>
          <w:p w14:paraId="21C9390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NFR-16</w:t>
            </w:r>
          </w:p>
        </w:tc>
        <w:tc>
          <w:tcPr>
            <w:tcW w:w="540" w:type="dxa"/>
            <w:textDirection w:val="tbRl"/>
          </w:tcPr>
          <w:p w14:paraId="3F9C6C99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Совместимость</w:t>
            </w:r>
          </w:p>
        </w:tc>
        <w:tc>
          <w:tcPr>
            <w:tcW w:w="900" w:type="dxa"/>
          </w:tcPr>
          <w:p w14:paraId="6EFEFAE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Форматы отчётов и передача оповещений</w:t>
            </w:r>
          </w:p>
        </w:tc>
        <w:tc>
          <w:tcPr>
            <w:tcW w:w="2520" w:type="dxa"/>
          </w:tcPr>
          <w:p w14:paraId="46EB66A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Отчёты должны формироваться в формате PDF, экспорт — в формате XLSX (файлы открываются в актуальных Microsoft Office, </w:t>
            </w:r>
            <w:proofErr w:type="spellStart"/>
            <w:r>
              <w:rPr>
                <w:sz w:val="17"/>
                <w:szCs w:val="17"/>
              </w:rPr>
              <w:t>LibreOffice</w:t>
            </w:r>
            <w:proofErr w:type="spellEnd"/>
            <w:r>
              <w:rPr>
                <w:sz w:val="17"/>
                <w:szCs w:val="17"/>
              </w:rPr>
              <w:t xml:space="preserve"> и PDF-</w:t>
            </w:r>
            <w:proofErr w:type="spellStart"/>
            <w:r>
              <w:rPr>
                <w:sz w:val="17"/>
                <w:szCs w:val="17"/>
              </w:rPr>
              <w:t>просмотрщиках</w:t>
            </w:r>
            <w:proofErr w:type="spellEnd"/>
            <w:r>
              <w:rPr>
                <w:sz w:val="17"/>
                <w:szCs w:val="17"/>
              </w:rPr>
              <w:t xml:space="preserve"> с сохранением всех строк и значений), а оповещения должны передаваться почтовому серверу по SMTP с поддержкой TLS и аутентификации.</w:t>
            </w:r>
          </w:p>
        </w:tc>
        <w:tc>
          <w:tcPr>
            <w:tcW w:w="1260" w:type="dxa"/>
          </w:tcPr>
          <w:p w14:paraId="4FCDD122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StH-03; Первичный анализ, «Границы системы»</w:t>
            </w:r>
          </w:p>
        </w:tc>
        <w:tc>
          <w:tcPr>
            <w:tcW w:w="1620" w:type="dxa"/>
          </w:tcPr>
          <w:p w14:paraId="25DCF59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Отчёты предназначены для руководителя и уполномоченного органа, использующих стандартные офисные средства; оповещения идут через почтовую инфраструктуру организации.</w:t>
            </w:r>
          </w:p>
        </w:tc>
        <w:tc>
          <w:tcPr>
            <w:tcW w:w="720" w:type="dxa"/>
          </w:tcPr>
          <w:p w14:paraId="28C6A5C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67D3A4A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Испытание. Файлы открыты в Microsoft Excel и </w:t>
            </w:r>
            <w:proofErr w:type="spellStart"/>
            <w:r>
              <w:rPr>
                <w:sz w:val="17"/>
                <w:szCs w:val="17"/>
              </w:rPr>
              <w:t>LibreOffice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Calc</w:t>
            </w:r>
            <w:proofErr w:type="spellEnd"/>
            <w:r>
              <w:rPr>
                <w:sz w:val="17"/>
                <w:szCs w:val="17"/>
              </w:rPr>
              <w:t>, число строк и значения статистики совпадают с журналом; оповещение передано тестовому SMTP с TLS; при включённом требовании TLS соединение без шифрования отклоняется.</w:t>
            </w:r>
          </w:p>
        </w:tc>
      </w:tr>
      <w:tr w:rsidR="00F84ED4" w14:paraId="527CB665" w14:textId="77777777" w:rsidTr="00F84ED4">
        <w:trPr>
          <w:cantSplit/>
          <w:trHeight w:val="312"/>
        </w:trPr>
        <w:tc>
          <w:tcPr>
            <w:tcW w:w="9715" w:type="dxa"/>
            <w:gridSpan w:val="8"/>
            <w:shd w:val="clear" w:color="auto" w:fill="auto"/>
          </w:tcPr>
          <w:p w14:paraId="3BEEC808" w14:textId="77777777" w:rsidR="00F84ED4" w:rsidRDefault="00F84ED4" w:rsidP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Ограничения (CON)</w:t>
            </w:r>
          </w:p>
        </w:tc>
      </w:tr>
      <w:tr w:rsidR="00F84ED4" w14:paraId="6FAC9065" w14:textId="77777777" w:rsidTr="00160C10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156E123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CON-01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3ABD936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5CDDFC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Пассивный режим работы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60F39C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работать только с копиями трафика или событиями, полученными от инфраструктуры организации, и не должна изменять, задерживать или блокировать передаваемые данные.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1274DC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BDF624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Ключевое архитектурное ограничение: система — пассивный монитор.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3CACE6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65C581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 и испытание. Схема подключения не содержит системы в разрыве канала; данные, принятые адресатом, совпадают с отправленными (сравнение хэшей).</w:t>
            </w:r>
          </w:p>
        </w:tc>
      </w:tr>
      <w:tr w:rsidR="00F84ED4" w14:paraId="60E4B765" w14:textId="77777777" w:rsidTr="00160C10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4A2C605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CON-02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2377AD0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nil"/>
            </w:tcBorders>
          </w:tcPr>
          <w:p w14:paraId="41351EA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Отсутствие самостоятельного дешифрования</w:t>
            </w:r>
          </w:p>
        </w:tc>
        <w:tc>
          <w:tcPr>
            <w:tcW w:w="2520" w:type="dxa"/>
            <w:tcBorders>
              <w:bottom w:val="nil"/>
            </w:tcBorders>
          </w:tcPr>
          <w:p w14:paraId="2DE619A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не должна самостоятельно дешифровать защищённые протоколы; дешифрование (при необходимости) выполняет инфраструктура организации.</w:t>
            </w:r>
          </w:p>
        </w:tc>
        <w:tc>
          <w:tcPr>
            <w:tcW w:w="1260" w:type="dxa"/>
            <w:tcBorders>
              <w:bottom w:val="nil"/>
            </w:tcBorders>
          </w:tcPr>
          <w:p w14:paraId="6F73EB58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«Границы системы»</w:t>
            </w:r>
          </w:p>
        </w:tc>
        <w:tc>
          <w:tcPr>
            <w:tcW w:w="1620" w:type="dxa"/>
            <w:tcBorders>
              <w:bottom w:val="nil"/>
            </w:tcBorders>
          </w:tcPr>
          <w:p w14:paraId="4D18859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Дешифрование требует отдельной инфраструктуры и остаётся во внешней среде.</w:t>
            </w:r>
          </w:p>
        </w:tc>
        <w:tc>
          <w:tcPr>
            <w:tcW w:w="720" w:type="dxa"/>
            <w:tcBorders>
              <w:bottom w:val="nil"/>
            </w:tcBorders>
          </w:tcPr>
          <w:p w14:paraId="40C96D4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0A72604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 и испытание. В составе системы нет компонентов, подменяющих сертификаты или расшифровывающих трафик; нерасшифрованный HTTPS-трафик анализу не подвергается.</w:t>
            </w:r>
          </w:p>
        </w:tc>
      </w:tr>
    </w:tbl>
    <w:p w14:paraId="275E011C" w14:textId="5C5D4E7C" w:rsidR="0093634D" w:rsidRDefault="0093634D"/>
    <w:p w14:paraId="0298D78C" w14:textId="3C91C9EF" w:rsidR="0093634D" w:rsidRDefault="0093634D"/>
    <w:p w14:paraId="3FFCB8E2" w14:textId="5D4D8586" w:rsidR="0093634D" w:rsidRDefault="0093634D"/>
    <w:p w14:paraId="02085434" w14:textId="1492FF4C" w:rsidR="0093634D" w:rsidRDefault="0093634D"/>
    <w:p w14:paraId="6658C71F" w14:textId="52BF1631" w:rsidR="0093634D" w:rsidRDefault="0093634D" w:rsidP="0093634D">
      <w:pPr>
        <w:keepNext/>
        <w:ind w:firstLine="0"/>
        <w:jc w:val="left"/>
      </w:pPr>
      <w:r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35451E52" w14:textId="77777777" w:rsidTr="00F84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415C869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CON-03</w:t>
            </w:r>
          </w:p>
        </w:tc>
        <w:tc>
          <w:tcPr>
            <w:tcW w:w="540" w:type="dxa"/>
            <w:textDirection w:val="tbRl"/>
          </w:tcPr>
          <w:p w14:paraId="15A4341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</w:tcPr>
          <w:p w14:paraId="576EF2A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 объёма хранимых данных</w:t>
            </w:r>
          </w:p>
        </w:tc>
        <w:tc>
          <w:tcPr>
            <w:tcW w:w="2520" w:type="dxa"/>
          </w:tcPr>
          <w:p w14:paraId="5660CA0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не должна хранить полное содержимое сообщений; допускается хранить только метаданные и фрагменты длиной не более 200 символов, содержащие чувствительные данные.</w:t>
            </w:r>
          </w:p>
        </w:tc>
        <w:tc>
          <w:tcPr>
            <w:tcW w:w="1260" w:type="dxa"/>
          </w:tcPr>
          <w:p w14:paraId="5A32B5E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StH-02; ст. 5 152-ФЗ</w:t>
            </w:r>
          </w:p>
        </w:tc>
        <w:tc>
          <w:tcPr>
            <w:tcW w:w="1620" w:type="dxa"/>
          </w:tcPr>
          <w:p w14:paraId="6679061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Принцип минимизации данных и снижение ущерба при компрометации БД.</w:t>
            </w:r>
          </w:p>
        </w:tc>
        <w:tc>
          <w:tcPr>
            <w:tcW w:w="720" w:type="dxa"/>
          </w:tcPr>
          <w:p w14:paraId="4BEC139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3AB7B91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 и испытание. В БД отсутствуют поля и таблицы с полным содержимым сообщений; для сообщения длиной 10 000 символов в БД сохраняется не более 200 символов.</w:t>
            </w:r>
          </w:p>
        </w:tc>
      </w:tr>
      <w:tr w:rsidR="00F84ED4" w14:paraId="2D630B07" w14:textId="77777777" w:rsidTr="00F84ED4">
        <w:trPr>
          <w:cantSplit/>
          <w:trHeight w:val="1134"/>
        </w:trPr>
        <w:tc>
          <w:tcPr>
            <w:tcW w:w="535" w:type="dxa"/>
          </w:tcPr>
          <w:p w14:paraId="37A8FDA4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CON-04</w:t>
            </w:r>
          </w:p>
        </w:tc>
        <w:tc>
          <w:tcPr>
            <w:tcW w:w="540" w:type="dxa"/>
            <w:textDirection w:val="tbRl"/>
          </w:tcPr>
          <w:p w14:paraId="69174BDA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</w:tcPr>
          <w:p w14:paraId="3DC5CAC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Правовые границы применения</w:t>
            </w:r>
          </w:p>
        </w:tc>
        <w:tc>
          <w:tcPr>
            <w:tcW w:w="2520" w:type="dxa"/>
          </w:tcPr>
          <w:p w14:paraId="6801134D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Внедрение системы должно сопровождаться локальным актом организации о мониторинге, ознакомлением работников с ним и определением границ мониторинга; эти мероприятия выполняет организация-оператор вне системы, а система лишь предоставляет технические возможности и не гарантирует соответствие организации требованиям законодательства.</w:t>
            </w:r>
          </w:p>
        </w:tc>
        <w:tc>
          <w:tcPr>
            <w:tcW w:w="1260" w:type="dxa"/>
          </w:tcPr>
          <w:p w14:paraId="0C4E571A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ст. 18.1 152-ФЗ; ст. 22 и 86 ТК РФ</w:t>
            </w:r>
          </w:p>
        </w:tc>
        <w:tc>
          <w:tcPr>
            <w:tcW w:w="1620" w:type="dxa"/>
          </w:tcPr>
          <w:p w14:paraId="34704A0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Правовые основания мониторинга создаёт организация; нормативные ссылки носят обосновывающий характер и не заменяют правовой экспертизы.</w:t>
            </w:r>
          </w:p>
        </w:tc>
        <w:tc>
          <w:tcPr>
            <w:tcW w:w="720" w:type="dxa"/>
          </w:tcPr>
          <w:p w14:paraId="52D4B041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447A92E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Руководство администратора содержит памятку о необходимости оформления локального акта и определения границ мониторинга; в документации и интерфейсе отсутствуют утверждения о гарантированном соответствии законодательству.</w:t>
            </w:r>
          </w:p>
        </w:tc>
      </w:tr>
      <w:tr w:rsidR="00F84ED4" w14:paraId="0808275C" w14:textId="77777777" w:rsidTr="00F84ED4">
        <w:trPr>
          <w:cantSplit/>
          <w:trHeight w:val="1134"/>
        </w:trPr>
        <w:tc>
          <w:tcPr>
            <w:tcW w:w="535" w:type="dxa"/>
          </w:tcPr>
          <w:p w14:paraId="4BAAD43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CON-05</w:t>
            </w:r>
          </w:p>
        </w:tc>
        <w:tc>
          <w:tcPr>
            <w:tcW w:w="540" w:type="dxa"/>
            <w:textDirection w:val="tbRl"/>
          </w:tcPr>
          <w:p w14:paraId="739C6FE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</w:tcPr>
          <w:p w14:paraId="537D47D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Испытания только на синтетических данных</w:t>
            </w:r>
          </w:p>
        </w:tc>
        <w:tc>
          <w:tcPr>
            <w:tcW w:w="2520" w:type="dxa"/>
          </w:tcPr>
          <w:p w14:paraId="083A8816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Испытания системы должны проводиться только на синтетических данных (искусственные паспортные данные, ИНН, номера телефонов, адреса электронной почты); реальные персональные данные и сведения, составляющие коммерческую тайну, использоваться не должны.</w:t>
            </w:r>
          </w:p>
        </w:tc>
        <w:tc>
          <w:tcPr>
            <w:tcW w:w="1260" w:type="dxa"/>
          </w:tcPr>
          <w:p w14:paraId="48835A35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«Этические и правовые ограничения»; ст. 5 152-ФЗ</w:t>
            </w:r>
          </w:p>
        </w:tc>
        <w:tc>
          <w:tcPr>
            <w:tcW w:w="1620" w:type="dxa"/>
          </w:tcPr>
          <w:p w14:paraId="72286F2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Соответствие целям обработки и защита реальных данных при разработке и испытаниях прототипа.</w:t>
            </w:r>
          </w:p>
        </w:tc>
        <w:tc>
          <w:tcPr>
            <w:tcW w:w="720" w:type="dxa"/>
          </w:tcPr>
          <w:p w14:paraId="143D2B7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09B88D0F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Контрольные наборы созданы вручную или генератором; программа и методика испытаний содержит запрет на использование реальных данных.</w:t>
            </w:r>
          </w:p>
        </w:tc>
      </w:tr>
      <w:tr w:rsidR="00F84ED4" w14:paraId="02C2A646" w14:textId="77777777" w:rsidTr="00F84ED4">
        <w:trPr>
          <w:cantSplit/>
          <w:trHeight w:val="1134"/>
        </w:trPr>
        <w:tc>
          <w:tcPr>
            <w:tcW w:w="535" w:type="dxa"/>
          </w:tcPr>
          <w:p w14:paraId="3BDA9CA9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CON-06</w:t>
            </w:r>
          </w:p>
        </w:tc>
        <w:tc>
          <w:tcPr>
            <w:tcW w:w="540" w:type="dxa"/>
            <w:textDirection w:val="tbRl"/>
          </w:tcPr>
          <w:p w14:paraId="4CB8C7A0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</w:tcPr>
          <w:p w14:paraId="67CF22DC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Способ получения сетевого трафика</w:t>
            </w:r>
          </w:p>
        </w:tc>
        <w:tc>
          <w:tcPr>
            <w:tcW w:w="2520" w:type="dxa"/>
          </w:tcPr>
          <w:p w14:paraId="107934AE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 xml:space="preserve">Получение трафика должно выполняться сетевым </w:t>
            </w:r>
            <w:proofErr w:type="spellStart"/>
            <w:r>
              <w:rPr>
                <w:sz w:val="17"/>
                <w:szCs w:val="17"/>
              </w:rPr>
              <w:t>сниффером</w:t>
            </w:r>
            <w:proofErr w:type="spellEnd"/>
            <w:r>
              <w:rPr>
                <w:sz w:val="17"/>
                <w:szCs w:val="17"/>
              </w:rPr>
              <w:t xml:space="preserve"> (на основе </w:t>
            </w:r>
            <w:proofErr w:type="spellStart"/>
            <w:r>
              <w:rPr>
                <w:sz w:val="17"/>
                <w:szCs w:val="17"/>
              </w:rPr>
              <w:t>libpcap</w:t>
            </w:r>
            <w:proofErr w:type="spellEnd"/>
            <w:r>
              <w:rPr>
                <w:sz w:val="17"/>
                <w:szCs w:val="17"/>
              </w:rPr>
              <w:t xml:space="preserve">) на </w:t>
            </w:r>
            <w:proofErr w:type="spellStart"/>
            <w:r>
              <w:rPr>
                <w:sz w:val="17"/>
                <w:szCs w:val="17"/>
              </w:rPr>
              <w:t>зеркалируемом</w:t>
            </w:r>
            <w:proofErr w:type="spellEnd"/>
            <w:r>
              <w:rPr>
                <w:sz w:val="17"/>
                <w:szCs w:val="17"/>
              </w:rPr>
              <w:t xml:space="preserve"> порту или через прокси-сервер организации.</w:t>
            </w:r>
          </w:p>
        </w:tc>
        <w:tc>
          <w:tcPr>
            <w:tcW w:w="1260" w:type="dxa"/>
          </w:tcPr>
          <w:p w14:paraId="14E6BA20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таблица 2</w:t>
            </w:r>
          </w:p>
        </w:tc>
        <w:tc>
          <w:tcPr>
            <w:tcW w:w="1620" w:type="dxa"/>
          </w:tcPr>
          <w:p w14:paraId="727F18F7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Способы получения данных названы в описании источников данных; конкретный вариант выбирается при проектировании (таблица В.5).</w:t>
            </w:r>
          </w:p>
        </w:tc>
        <w:tc>
          <w:tcPr>
            <w:tcW w:w="720" w:type="dxa"/>
          </w:tcPr>
          <w:p w14:paraId="10EDB68B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</w:tcPr>
          <w:p w14:paraId="0A809AE3" w14:textId="77777777" w:rsidR="00F84ED4" w:rsidRDefault="00F84ED4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Схема стенда и состав ПО подтверждают использование одного из двух способов.</w:t>
            </w:r>
          </w:p>
        </w:tc>
      </w:tr>
    </w:tbl>
    <w:p w14:paraId="7681E665" w14:textId="77777777" w:rsidR="00765C2F" w:rsidRDefault="00765C2F"/>
    <w:sectPr w:rsidR="00765C2F" w:rsidSect="00F84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D4"/>
    <w:rsid w:val="001051EC"/>
    <w:rsid w:val="00160C10"/>
    <w:rsid w:val="00765C2F"/>
    <w:rsid w:val="008338C0"/>
    <w:rsid w:val="00907D02"/>
    <w:rsid w:val="0093634D"/>
    <w:rsid w:val="00A7667B"/>
    <w:rsid w:val="00E929D7"/>
    <w:rsid w:val="00F8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5D1AA"/>
  <w15:chartTrackingRefBased/>
  <w15:docId w15:val="{16BEB2F1-0467-4DE5-9066-30011D82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F84ED4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F84ED4"/>
    <w:pPr>
      <w:keepNext/>
      <w:keepLines/>
      <w:pageBreakBefore/>
      <w:numPr>
        <w:numId w:val="1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F84ED4"/>
    <w:pPr>
      <w:keepNext/>
      <w:keepLines/>
      <w:numPr>
        <w:ilvl w:val="1"/>
        <w:numId w:val="1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F84ED4"/>
    <w:pPr>
      <w:keepNext/>
      <w:keepLines/>
      <w:numPr>
        <w:ilvl w:val="2"/>
        <w:numId w:val="1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F84ED4"/>
    <w:pPr>
      <w:keepNext/>
      <w:keepLines/>
      <w:numPr>
        <w:ilvl w:val="3"/>
        <w:numId w:val="1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F84ED4"/>
    <w:pPr>
      <w:keepNext/>
      <w:keepLines/>
      <w:numPr>
        <w:ilvl w:val="4"/>
        <w:numId w:val="1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F84ED4"/>
    <w:pPr>
      <w:keepNext/>
      <w:keepLines/>
      <w:numPr>
        <w:ilvl w:val="5"/>
        <w:numId w:val="1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F84ED4"/>
    <w:pPr>
      <w:keepNext/>
      <w:keepLines/>
      <w:numPr>
        <w:ilvl w:val="6"/>
        <w:numId w:val="1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F84ED4"/>
    <w:pPr>
      <w:keepNext/>
      <w:keepLines/>
      <w:numPr>
        <w:ilvl w:val="7"/>
        <w:numId w:val="1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F84ED4"/>
    <w:pPr>
      <w:keepNext/>
      <w:keepLines/>
      <w:numPr>
        <w:ilvl w:val="8"/>
        <w:numId w:val="1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F84ED4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84ED4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84ED4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84ED4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F84ED4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F84ED4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F84ED4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F84ED4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F84ED4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table" w:styleId="a3">
    <w:name w:val="Table Grid"/>
    <w:basedOn w:val="a1"/>
    <w:uiPriority w:val="59"/>
    <w:rsid w:val="00F84ED4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4894</Words>
  <Characters>27896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Белозерова</dc:creator>
  <cp:keywords/>
  <dc:description/>
  <cp:lastModifiedBy>Анастасия Белозерова</cp:lastModifiedBy>
  <cp:revision>3</cp:revision>
  <dcterms:created xsi:type="dcterms:W3CDTF">2026-09-21T17:40:00Z</dcterms:created>
  <dcterms:modified xsi:type="dcterms:W3CDTF">2026-09-21T18:03:00Z</dcterms:modified>
</cp:coreProperties>
</file>