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C7E27" w14:textId="47406853" w:rsidR="006C73BB" w:rsidRPr="006C73BB" w:rsidRDefault="006C73BB" w:rsidP="006C73BB">
      <w:pPr>
        <w:jc w:val="center"/>
        <w:rPr>
          <w:b/>
          <w:bCs/>
        </w:rPr>
      </w:pPr>
      <w:r w:rsidRPr="006C73BB">
        <w:rPr>
          <w:b/>
          <w:bCs/>
        </w:rPr>
        <w:t>Приложение А Сценарии использования системы</w:t>
      </w:r>
    </w:p>
    <w:p w14:paraId="66657721" w14:textId="019B9A56" w:rsidR="006C73BB" w:rsidRDefault="006C73BB" w:rsidP="006C73BB">
      <w:r>
        <w:t>Сценарии разработаны на основе описания кейса и реестра стейкхолдеров (таблица 2); в скобках указаны обеспечивающие требования.</w:t>
      </w:r>
    </w:p>
    <w:p w14:paraId="5D980BFF" w14:textId="77777777" w:rsidR="006C73BB" w:rsidRDefault="006C73BB" w:rsidP="006C73BB">
      <w:pPr>
        <w:keepNext/>
        <w:ind w:firstLine="0"/>
        <w:jc w:val="left"/>
      </w:pPr>
      <w:r>
        <w:rPr>
          <w:b/>
          <w:bCs/>
        </w:rPr>
        <w:t>А.1 Диаграмма вариантов использования</w:t>
      </w:r>
    </w:p>
    <w:p w14:paraId="2D111BC4" w14:textId="77777777" w:rsidR="006C73BB" w:rsidRDefault="006C73BB" w:rsidP="006C73BB">
      <w:r>
        <w:t>Диаграмма вариантов использования (UML) приведена на рисунке 10. Прямоугольник обозначает границу системы; сплошные фигуры – пользователи системы, пунктирные – внешние системы; эллипсы – варианты использования. Основные варианты соответствуют сценариям UC-01–UC-04 (таблицы А.3–А.6).</w:t>
      </w:r>
    </w:p>
    <w:p w14:paraId="0462F7C9" w14:textId="77777777" w:rsidR="006C73BB" w:rsidRDefault="006C73BB" w:rsidP="006C73B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7C91E1F" wp14:editId="59958219">
            <wp:extent cx="4680000" cy="43894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9BBB" w14:textId="77777777" w:rsidR="006C73BB" w:rsidRDefault="006C73BB" w:rsidP="006C73BB">
      <w:pPr>
        <w:ind w:firstLine="0"/>
        <w:jc w:val="center"/>
      </w:pPr>
      <w:r>
        <w:t>Рисунок 10 – Диаграмма вариантов использования системы</w:t>
      </w:r>
    </w:p>
    <w:p w14:paraId="220B3A3D" w14:textId="77777777" w:rsidR="006C73BB" w:rsidRDefault="006C73BB" w:rsidP="006C73BB">
      <w:pPr>
        <w:keepNext/>
        <w:ind w:firstLine="0"/>
        <w:jc w:val="left"/>
      </w:pPr>
      <w:r>
        <w:rPr>
          <w:b/>
          <w:bCs/>
        </w:rPr>
        <w:t>А.2 Описание диаграммы</w:t>
      </w:r>
    </w:p>
    <w:p w14:paraId="23C5FFD1" w14:textId="77777777" w:rsidR="006C73BB" w:rsidRDefault="006C73BB" w:rsidP="006C73BB">
      <w:r>
        <w:t>Акторы диаграммы и их связь с вариантами использования приведены в таблице А.1.</w:t>
      </w:r>
    </w:p>
    <w:p w14:paraId="7DF3BD9A" w14:textId="77777777" w:rsidR="006C73BB" w:rsidRDefault="006C73BB" w:rsidP="006C73BB">
      <w:pPr>
        <w:keepNext/>
        <w:ind w:firstLine="0"/>
        <w:jc w:val="left"/>
      </w:pPr>
      <w:r>
        <w:t>Таблица А.1 – Акторы диаграммы вариантов использования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5705"/>
      </w:tblGrid>
      <w:tr w:rsidR="006C73BB" w14:paraId="2776BB1B" w14:textId="77777777" w:rsidTr="006C7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00" w:type="dxa"/>
            <w:shd w:val="clear" w:color="auto" w:fill="auto"/>
          </w:tcPr>
          <w:p w14:paraId="0ABDC47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Актор</w:t>
            </w:r>
          </w:p>
        </w:tc>
        <w:tc>
          <w:tcPr>
            <w:tcW w:w="2200" w:type="dxa"/>
            <w:shd w:val="clear" w:color="auto" w:fill="auto"/>
          </w:tcPr>
          <w:p w14:paraId="2D27DFE1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Тип</w:t>
            </w:r>
          </w:p>
        </w:tc>
        <w:tc>
          <w:tcPr>
            <w:tcW w:w="5705" w:type="dxa"/>
            <w:shd w:val="clear" w:color="auto" w:fill="auto"/>
          </w:tcPr>
          <w:p w14:paraId="6DC486DD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Участие в вариантах использования</w:t>
            </w:r>
          </w:p>
        </w:tc>
      </w:tr>
      <w:tr w:rsidR="006C73BB" w14:paraId="2C40AE59" w14:textId="77777777" w:rsidTr="00F32E4A">
        <w:trPr>
          <w:cantSplit/>
        </w:trPr>
        <w:tc>
          <w:tcPr>
            <w:tcW w:w="2300" w:type="dxa"/>
          </w:tcPr>
          <w:p w14:paraId="10F4C72A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Администратор безопасности (StH-01)</w:t>
            </w:r>
          </w:p>
        </w:tc>
        <w:tc>
          <w:tcPr>
            <w:tcW w:w="2200" w:type="dxa"/>
          </w:tcPr>
          <w:p w14:paraId="19894D4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Пользователь системы</w:t>
            </w:r>
          </w:p>
        </w:tc>
        <w:tc>
          <w:tcPr>
            <w:tcW w:w="5705" w:type="dxa"/>
          </w:tcPr>
          <w:p w14:paraId="43659CE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UC-01 – получает оповещение об утечке; UC-02 – настраивает правила и исключения; UC-03 – разбирает инциденты, устанавливает статусы; UC-04 – формирует отчёты и экспорт</w:t>
            </w:r>
          </w:p>
        </w:tc>
      </w:tr>
      <w:tr w:rsidR="006C73BB" w14:paraId="6D9F42DD" w14:textId="77777777" w:rsidTr="00F32E4A">
        <w:trPr>
          <w:cantSplit/>
        </w:trPr>
        <w:tc>
          <w:tcPr>
            <w:tcW w:w="2300" w:type="dxa"/>
          </w:tcPr>
          <w:p w14:paraId="486D45CD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lastRenderedPageBreak/>
              <w:t>Наблюдатель (руководитель организации, StH-02)</w:t>
            </w:r>
          </w:p>
        </w:tc>
        <w:tc>
          <w:tcPr>
            <w:tcW w:w="2200" w:type="dxa"/>
          </w:tcPr>
          <w:p w14:paraId="231BAF87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Пользователь с ограниченными правами</w:t>
            </w:r>
          </w:p>
        </w:tc>
        <w:tc>
          <w:tcPr>
            <w:tcW w:w="5705" w:type="dxa"/>
          </w:tcPr>
          <w:p w14:paraId="782990A7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UC-03 – только просмотр журнала (фрагменты маскированы); UC-04 – получение отчёта. Настройка и изменение данных недоступны</w:t>
            </w:r>
          </w:p>
        </w:tc>
      </w:tr>
      <w:tr w:rsidR="006C73BB" w14:paraId="7343BE1F" w14:textId="77777777" w:rsidTr="00F32E4A">
        <w:trPr>
          <w:cantSplit/>
        </w:trPr>
        <w:tc>
          <w:tcPr>
            <w:tcW w:w="2300" w:type="dxa"/>
          </w:tcPr>
          <w:p w14:paraId="11D4FD37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Контролируемая сеть (источник трафика)</w:t>
            </w:r>
          </w:p>
        </w:tc>
        <w:tc>
          <w:tcPr>
            <w:tcW w:w="2200" w:type="dxa"/>
          </w:tcPr>
          <w:p w14:paraId="3302F43C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Внешняя система</w:t>
            </w:r>
          </w:p>
        </w:tc>
        <w:tc>
          <w:tcPr>
            <w:tcW w:w="5705" w:type="dxa"/>
          </w:tcPr>
          <w:p w14:paraId="13605FB1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UC-01 – передаёт копии сообщений, которые система перехватывает и анализирует</w:t>
            </w:r>
          </w:p>
        </w:tc>
      </w:tr>
      <w:tr w:rsidR="006C73BB" w14:paraId="1744A2CF" w14:textId="77777777" w:rsidTr="00F32E4A">
        <w:trPr>
          <w:cantSplit/>
        </w:trPr>
        <w:tc>
          <w:tcPr>
            <w:tcW w:w="2300" w:type="dxa"/>
          </w:tcPr>
          <w:p w14:paraId="08E1ADA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Почтовый сервер</w:t>
            </w:r>
          </w:p>
        </w:tc>
        <w:tc>
          <w:tcPr>
            <w:tcW w:w="2200" w:type="dxa"/>
          </w:tcPr>
          <w:p w14:paraId="54CF2227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Внешняя система</w:t>
            </w:r>
          </w:p>
        </w:tc>
        <w:tc>
          <w:tcPr>
            <w:tcW w:w="5705" w:type="dxa"/>
          </w:tcPr>
          <w:p w14:paraId="295E0723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UC-01 – принимает письмо об инциденте критической важности по SMTP</w:t>
            </w:r>
          </w:p>
        </w:tc>
      </w:tr>
    </w:tbl>
    <w:p w14:paraId="3F26918D" w14:textId="77777777" w:rsidR="006C73BB" w:rsidRDefault="006C73BB" w:rsidP="006C73BB">
      <w:pPr>
        <w:spacing w:before="0" w:line="240" w:lineRule="auto"/>
        <w:ind w:firstLine="0"/>
      </w:pPr>
    </w:p>
    <w:p w14:paraId="45AAAA76" w14:textId="63C7F65C" w:rsidR="006C73BB" w:rsidRDefault="006C73BB" w:rsidP="006C73BB">
      <w:r>
        <w:t>Отношения на диаграмме приведены в таблице А.2.</w:t>
      </w:r>
    </w:p>
    <w:p w14:paraId="3F5A3B59" w14:textId="77777777" w:rsidR="006C73BB" w:rsidRDefault="006C73BB" w:rsidP="006C73BB">
      <w:pPr>
        <w:keepNext/>
        <w:ind w:firstLine="0"/>
        <w:jc w:val="left"/>
      </w:pPr>
      <w:r>
        <w:t>Таблица А.2 – Отношения на диаграмме вариантов использования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4905"/>
      </w:tblGrid>
      <w:tr w:rsidR="006C73BB" w14:paraId="076DA8D4" w14:textId="77777777" w:rsidTr="006C7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00" w:type="dxa"/>
            <w:shd w:val="clear" w:color="auto" w:fill="auto"/>
          </w:tcPr>
          <w:p w14:paraId="03A38DF1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Отношение</w:t>
            </w:r>
          </w:p>
        </w:tc>
        <w:tc>
          <w:tcPr>
            <w:tcW w:w="3300" w:type="dxa"/>
            <w:shd w:val="clear" w:color="auto" w:fill="auto"/>
          </w:tcPr>
          <w:p w14:paraId="34890A67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Между элементами</w:t>
            </w:r>
          </w:p>
        </w:tc>
        <w:tc>
          <w:tcPr>
            <w:tcW w:w="4905" w:type="dxa"/>
            <w:shd w:val="clear" w:color="auto" w:fill="auto"/>
          </w:tcPr>
          <w:p w14:paraId="0860DF9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Смысл</w:t>
            </w:r>
          </w:p>
        </w:tc>
      </w:tr>
      <w:tr w:rsidR="006C73BB" w14:paraId="566573B3" w14:textId="77777777" w:rsidTr="00F32E4A">
        <w:trPr>
          <w:cantSplit/>
        </w:trPr>
        <w:tc>
          <w:tcPr>
            <w:tcW w:w="2000" w:type="dxa"/>
          </w:tcPr>
          <w:p w14:paraId="14F276C1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Ассоциация</w:t>
            </w:r>
          </w:p>
        </w:tc>
        <w:tc>
          <w:tcPr>
            <w:tcW w:w="3300" w:type="dxa"/>
          </w:tcPr>
          <w:p w14:paraId="34C2844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Актор – вариант использования</w:t>
            </w:r>
          </w:p>
        </w:tc>
        <w:tc>
          <w:tcPr>
            <w:tcW w:w="4905" w:type="dxa"/>
          </w:tcPr>
          <w:p w14:paraId="2558B005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Актор участвует в сценарии: инициирует его, получает результат или передаёт данные</w:t>
            </w:r>
          </w:p>
        </w:tc>
      </w:tr>
      <w:tr w:rsidR="006C73BB" w14:paraId="3685C9BD" w14:textId="77777777" w:rsidTr="00F32E4A">
        <w:trPr>
          <w:cantSplit/>
        </w:trPr>
        <w:tc>
          <w:tcPr>
            <w:tcW w:w="2000" w:type="dxa"/>
          </w:tcPr>
          <w:p w14:paraId="0D148999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Обобщение</w:t>
            </w:r>
          </w:p>
        </w:tc>
        <w:tc>
          <w:tcPr>
            <w:tcW w:w="3300" w:type="dxa"/>
          </w:tcPr>
          <w:p w14:paraId="67EF77D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Администратор безопасности → Наблюдатель</w:t>
            </w:r>
          </w:p>
        </w:tc>
        <w:tc>
          <w:tcPr>
            <w:tcW w:w="4905" w:type="dxa"/>
          </w:tcPr>
          <w:p w14:paraId="68D46078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Администратор наследует все возможности наблюдателя (просмотр журнала и отчётов) и дополнительно настраивает систему и разбирает инциденты</w:t>
            </w:r>
          </w:p>
        </w:tc>
      </w:tr>
      <w:tr w:rsidR="006C73BB" w14:paraId="41211451" w14:textId="77777777" w:rsidTr="00F32E4A">
        <w:trPr>
          <w:cantSplit/>
        </w:trPr>
        <w:tc>
          <w:tcPr>
            <w:tcW w:w="2000" w:type="dxa"/>
          </w:tcPr>
          <w:p w14:paraId="459931F3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«include»</w:t>
            </w:r>
          </w:p>
        </w:tc>
        <w:tc>
          <w:tcPr>
            <w:tcW w:w="3300" w:type="dxa"/>
          </w:tcPr>
          <w:p w14:paraId="211E0C66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UC-01 → Регистрация инцидента в журнале</w:t>
            </w:r>
          </w:p>
        </w:tc>
        <w:tc>
          <w:tcPr>
            <w:tcW w:w="4905" w:type="dxa"/>
          </w:tcPr>
          <w:p w14:paraId="18CE65B8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Регистрация выполняется всегда при подтверждённом срабатывании правила (шаг 6 сценария UC-01)</w:t>
            </w:r>
          </w:p>
        </w:tc>
      </w:tr>
      <w:tr w:rsidR="006C73BB" w14:paraId="5825CA71" w14:textId="77777777" w:rsidTr="00F32E4A">
        <w:trPr>
          <w:cantSplit/>
        </w:trPr>
        <w:tc>
          <w:tcPr>
            <w:tcW w:w="2000" w:type="dxa"/>
          </w:tcPr>
          <w:p w14:paraId="2D15446A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«extend»</w:t>
            </w:r>
          </w:p>
        </w:tc>
        <w:tc>
          <w:tcPr>
            <w:tcW w:w="3300" w:type="dxa"/>
          </w:tcPr>
          <w:p w14:paraId="23EE59F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Оповещение по email → UC-01</w:t>
            </w:r>
          </w:p>
        </w:tc>
        <w:tc>
          <w:tcPr>
            <w:tcW w:w="4905" w:type="dxa"/>
          </w:tcPr>
          <w:p w14:paraId="09FD5EAD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Выполняется только если важность инцидента достигает настроенного порога (шаг 8 сценария UC-01)</w:t>
            </w:r>
          </w:p>
        </w:tc>
      </w:tr>
      <w:tr w:rsidR="006C73BB" w14:paraId="7264E2C0" w14:textId="77777777" w:rsidTr="00F32E4A">
        <w:trPr>
          <w:cantSplit/>
        </w:trPr>
        <w:tc>
          <w:tcPr>
            <w:tcW w:w="2000" w:type="dxa"/>
          </w:tcPr>
          <w:p w14:paraId="3CD448B6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«extend»</w:t>
            </w:r>
          </w:p>
        </w:tc>
        <w:tc>
          <w:tcPr>
            <w:tcW w:w="3300" w:type="dxa"/>
          </w:tcPr>
          <w:p w14:paraId="36F64B07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Управление списком исключений → UC-02</w:t>
            </w:r>
          </w:p>
        </w:tc>
        <w:tc>
          <w:tcPr>
            <w:tcW w:w="4905" w:type="dxa"/>
          </w:tcPr>
          <w:p w14:paraId="21A92E6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Необязательное действие администратора при настройке правил</w:t>
            </w:r>
          </w:p>
        </w:tc>
      </w:tr>
      <w:tr w:rsidR="006C73BB" w14:paraId="67394F65" w14:textId="77777777" w:rsidTr="00F32E4A">
        <w:trPr>
          <w:cantSplit/>
        </w:trPr>
        <w:tc>
          <w:tcPr>
            <w:tcW w:w="2000" w:type="dxa"/>
          </w:tcPr>
          <w:p w14:paraId="235BE3B3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«extend»</w:t>
            </w:r>
          </w:p>
        </w:tc>
        <w:tc>
          <w:tcPr>
            <w:tcW w:w="3300" w:type="dxa"/>
          </w:tcPr>
          <w:p w14:paraId="173B1EED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Просмотр полного фрагмента (админ.) → UC-03</w:t>
            </w:r>
          </w:p>
        </w:tc>
        <w:tc>
          <w:tcPr>
            <w:tcW w:w="4905" w:type="dxa"/>
          </w:tcPr>
          <w:p w14:paraId="521E15DB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Доступно только администратору; факт просмотра фиксируется в служебном журнале</w:t>
            </w:r>
          </w:p>
        </w:tc>
      </w:tr>
      <w:tr w:rsidR="006C73BB" w14:paraId="4CBA5EBB" w14:textId="77777777" w:rsidTr="00F32E4A">
        <w:trPr>
          <w:cantSplit/>
        </w:trPr>
        <w:tc>
          <w:tcPr>
            <w:tcW w:w="2000" w:type="dxa"/>
          </w:tcPr>
          <w:p w14:paraId="1CA7B18E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«extend»</w:t>
            </w:r>
          </w:p>
        </w:tc>
        <w:tc>
          <w:tcPr>
            <w:tcW w:w="3300" w:type="dxa"/>
          </w:tcPr>
          <w:p w14:paraId="68536296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Установка статуса обработки (админ.) → UC-03</w:t>
            </w:r>
          </w:p>
        </w:tc>
        <w:tc>
          <w:tcPr>
            <w:tcW w:w="4905" w:type="dxa"/>
          </w:tcPr>
          <w:p w14:paraId="61F9F1B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Необязательное действие администратора после просмотра инцидента; исходная запись журнала не изменяется</w:t>
            </w:r>
          </w:p>
        </w:tc>
      </w:tr>
      <w:tr w:rsidR="006C73BB" w14:paraId="6983C87C" w14:textId="77777777" w:rsidTr="00F32E4A">
        <w:trPr>
          <w:cantSplit/>
        </w:trPr>
        <w:tc>
          <w:tcPr>
            <w:tcW w:w="2000" w:type="dxa"/>
          </w:tcPr>
          <w:p w14:paraId="24D10BB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«extend»</w:t>
            </w:r>
          </w:p>
        </w:tc>
        <w:tc>
          <w:tcPr>
            <w:tcW w:w="3300" w:type="dxa"/>
          </w:tcPr>
          <w:p w14:paraId="02BA646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Экспорт журнала и статистики в XLSX → UC-04</w:t>
            </w:r>
          </w:p>
        </w:tc>
        <w:tc>
          <w:tcPr>
            <w:tcW w:w="4905" w:type="dxa"/>
          </w:tcPr>
          <w:p w14:paraId="43A9F0B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Выбор формата XLSX вместо PDF по усмотрению пользователя; по умолчанию фрагменты маскируются</w:t>
            </w:r>
          </w:p>
        </w:tc>
      </w:tr>
    </w:tbl>
    <w:p w14:paraId="7FAF3C7F" w14:textId="77777777" w:rsidR="006C73BB" w:rsidRDefault="006C73BB" w:rsidP="006C73BB">
      <w:pPr>
        <w:spacing w:before="0" w:line="240" w:lineRule="auto"/>
        <w:ind w:firstLine="0"/>
      </w:pPr>
    </w:p>
    <w:p w14:paraId="00B0D338" w14:textId="77777777" w:rsidR="006C73BB" w:rsidRDefault="006C73BB" w:rsidP="006C73BB">
      <w:r>
        <w:t>Аутентификация пользователя (FR-23) – общее предусловие UC-02, UC-03 и UC-04; на диаграмме не показана для сохранения читаемости.</w:t>
      </w:r>
    </w:p>
    <w:p w14:paraId="1AA3C138" w14:textId="77777777" w:rsidR="006C73BB" w:rsidRDefault="006C73BB" w:rsidP="006C73BB">
      <w:pPr>
        <w:keepNext/>
        <w:ind w:firstLine="0"/>
        <w:jc w:val="left"/>
      </w:pPr>
      <w:r>
        <w:rPr>
          <w:b/>
          <w:bCs/>
        </w:rPr>
        <w:t>А.3 Диаграммы деятельности и описания сценариев</w:t>
      </w:r>
    </w:p>
    <w:p w14:paraId="17384BD4" w14:textId="6B36A099" w:rsidR="006C73BB" w:rsidRDefault="006C73BB" w:rsidP="006C73BB">
      <w:r>
        <w:t>Для каждого сценария ниже приведена диаграмма деятельности (UML activity diagram), отражающая последовательность основного потока и точки ветвления к альтернативным потокам, и таблица с полным текстовым описанием сценария. Скруглённый прямоугольник – действие системы или актора; ромб – точка ветвления к альтернативному потоку; прямоугольник с пунктирной границей – результат альтернативного потока (с номером А1, А2 …, соответствующим таблице сценария).</w:t>
      </w:r>
    </w:p>
    <w:p w14:paraId="299CAB88" w14:textId="692774A9" w:rsidR="009A2D70" w:rsidRDefault="009A2D70" w:rsidP="009A2D70">
      <w:pPr>
        <w:ind w:firstLine="0"/>
      </w:pPr>
      <w:r w:rsidRPr="009A2D70">
        <w:lastRenderedPageBreak/>
        <w:drawing>
          <wp:inline distT="0" distB="0" distL="0" distR="0" wp14:anchorId="74555C84" wp14:editId="74D84B42">
            <wp:extent cx="6120130" cy="33007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17D3" w14:textId="106F1C97" w:rsidR="009A2D70" w:rsidRPr="009A2D70" w:rsidRDefault="009A2D70" w:rsidP="009A2D70">
      <w:pPr>
        <w:ind w:firstLine="0"/>
        <w:jc w:val="center"/>
      </w:pPr>
      <w:r>
        <w:t xml:space="preserve">Рисунок 11 – Диаграмма вариантов использования для </w:t>
      </w:r>
      <w:r>
        <w:rPr>
          <w:lang w:val="en-US"/>
        </w:rPr>
        <w:t>UC</w:t>
      </w:r>
      <w:r w:rsidRPr="009A2D70">
        <w:t>-01</w:t>
      </w:r>
    </w:p>
    <w:p w14:paraId="285D0022" w14:textId="77777777" w:rsidR="006C73BB" w:rsidRDefault="006C73BB" w:rsidP="006C73BB">
      <w:pPr>
        <w:keepNext/>
        <w:ind w:firstLine="0"/>
        <w:jc w:val="left"/>
      </w:pPr>
      <w:r>
        <w:t>Таблица А.3 – Сценарий UC-01. Обнаружение утечки и оповещение администратора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7905"/>
      </w:tblGrid>
      <w:tr w:rsidR="006C73BB" w14:paraId="25E23636" w14:textId="77777777" w:rsidTr="006C7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  <w:shd w:val="clear" w:color="auto" w:fill="auto"/>
          </w:tcPr>
          <w:p w14:paraId="12DAD99E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Идентификатор и наименование</w:t>
            </w:r>
          </w:p>
        </w:tc>
        <w:tc>
          <w:tcPr>
            <w:tcW w:w="7905" w:type="dxa"/>
          </w:tcPr>
          <w:p w14:paraId="70DB3DE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UC-01. Обнаружение утечки и оповещение администратора</w:t>
            </w:r>
          </w:p>
        </w:tc>
      </w:tr>
      <w:tr w:rsidR="006C73BB" w14:paraId="5578D8F2" w14:textId="77777777" w:rsidTr="006C73BB">
        <w:tc>
          <w:tcPr>
            <w:tcW w:w="2300" w:type="dxa"/>
            <w:shd w:val="clear" w:color="auto" w:fill="auto"/>
          </w:tcPr>
          <w:p w14:paraId="72467C1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Основной актор</w:t>
            </w:r>
          </w:p>
        </w:tc>
        <w:tc>
          <w:tcPr>
            <w:tcW w:w="7905" w:type="dxa"/>
          </w:tcPr>
          <w:p w14:paraId="1514AE8B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Администратор безопасности (получатель оповещения). Вторичные участники: контролируемая сеть (источник трафика), почтовый сервер</w:t>
            </w:r>
          </w:p>
        </w:tc>
      </w:tr>
      <w:tr w:rsidR="006C73BB" w14:paraId="397F4276" w14:textId="77777777" w:rsidTr="006C73BB">
        <w:tc>
          <w:tcPr>
            <w:tcW w:w="2300" w:type="dxa"/>
            <w:shd w:val="clear" w:color="auto" w:fill="auto"/>
          </w:tcPr>
          <w:p w14:paraId="18279C93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Предусловие</w:t>
            </w:r>
          </w:p>
        </w:tc>
        <w:tc>
          <w:tcPr>
            <w:tcW w:w="7905" w:type="dxa"/>
          </w:tcPr>
          <w:p w14:paraId="42AE730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Система запущена; подсистема перехвата получает копию трафика; активирован хотя бы один набор правил; в настройках указаны получатели оповещений; почтовый сервер доступен.</w:t>
            </w:r>
          </w:p>
        </w:tc>
      </w:tr>
      <w:tr w:rsidR="006C73BB" w14:paraId="410A00EC" w14:textId="77777777" w:rsidTr="006C73BB">
        <w:tc>
          <w:tcPr>
            <w:tcW w:w="2300" w:type="dxa"/>
            <w:shd w:val="clear" w:color="auto" w:fill="auto"/>
          </w:tcPr>
          <w:p w14:paraId="622572D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Основной поток событий</w:t>
            </w:r>
          </w:p>
        </w:tc>
        <w:tc>
          <w:tcPr>
            <w:tcW w:w="7905" w:type="dxa"/>
          </w:tcPr>
          <w:p w14:paraId="51B2C6D8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1. Подсистема перехвата получает копию сообщения, передаваемого из контролируемой сети во внешнюю систему по HTTP, SMTP, FTP или HTTPS (при получении расшифрованного трафика). (FR-01, FR-02, CON-01)</w:t>
            </w:r>
          </w:p>
          <w:p w14:paraId="52831D2A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2. Система фиксирует метаданные сообщения: время, отправитель, получатель или URL, протокол. (FR-03)</w:t>
            </w:r>
          </w:p>
          <w:p w14:paraId="0B02C627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3. Система проверяет, что получатель и значения не входят в список исключений и что это же сообщение не обрабатывалось ранее. (FR-10, FR-09)</w:t>
            </w:r>
          </w:p>
          <w:p w14:paraId="04787D3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4. Система применяет активные правила обнаружения к содержимому сообщения (паспорт, телефон, ИНН, email, словари). (FR-04, FR-05, FR-06)</w:t>
            </w:r>
          </w:p>
          <w:p w14:paraId="1D697A68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5. Для найденного совпадения система выполняет контекстные проверки (контрольная сумма, маркеры, исключения) и подтверждает срабатывание. (FR-07, NFR-12)</w:t>
            </w:r>
          </w:p>
          <w:p w14:paraId="7289BB2C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6. Система присваивает инциденту уровень важности и сохраняет запись в журнале; фрагмент данных ограничивается 200 символами и шифруется. (FR-08, FR-11, NFR-10, CON-03)</w:t>
            </w:r>
          </w:p>
          <w:p w14:paraId="28DE8D8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7. Система отображает инцидент на панели текущих инцидентов и создаёт внутрисистемное уведомление. (FR-14, FR-16)</w:t>
            </w:r>
          </w:p>
          <w:p w14:paraId="7CE9631D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8. Если уровень важности достигает настроенного порога (критический), система формирует письмо и передаёт его почтовому серверу не позднее 5 секунд с момента получения сообщения. (FR-16, FR-17, NFR-01, NFR-16)</w:t>
            </w:r>
          </w:p>
          <w:p w14:paraId="208C4A45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9. Администратор получает оповещение и переходит к разбору инцидента (сценарий UC-03). (FR-16)</w:t>
            </w:r>
          </w:p>
        </w:tc>
      </w:tr>
      <w:tr w:rsidR="006C73BB" w14:paraId="5B631C3D" w14:textId="77777777" w:rsidTr="006C73BB">
        <w:tc>
          <w:tcPr>
            <w:tcW w:w="2300" w:type="dxa"/>
            <w:shd w:val="clear" w:color="auto" w:fill="auto"/>
          </w:tcPr>
          <w:p w14:paraId="37D23EFE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lastRenderedPageBreak/>
              <w:t>Альтернативные потоки</w:t>
            </w:r>
          </w:p>
        </w:tc>
        <w:tc>
          <w:tcPr>
            <w:tcW w:w="7905" w:type="dxa"/>
          </w:tcPr>
          <w:p w14:paraId="17C76746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А1. Шаг 3. Получатель или значение входит в список исключений: инцидент не создаётся, метаданные сообщения сохраняются в журнале событий (FR-10, FR-03).</w:t>
            </w:r>
          </w:p>
          <w:p w14:paraId="57D1A977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А2. Шаг 5. Совпадение отклонено контекстной проверкой (например, неверная контрольная сумма ИНН): инцидент не создаётся (FR-07, FR-05).</w:t>
            </w:r>
          </w:p>
          <w:p w14:paraId="215F2D8C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А3. Шаг 8. Почтовый сервер недоступен: инцидент остаётся в журнале и на панели; передача письма повторяется не менее 3 раз с интервалом 60 секунд; при неуспехе сбой фиксируется в служебном журнале и создаётся внутрисистемное уведомление (NFR-07, FR-25, FR-16).</w:t>
            </w:r>
          </w:p>
        </w:tc>
      </w:tr>
      <w:tr w:rsidR="006C73BB" w14:paraId="28E4F8DA" w14:textId="77777777" w:rsidTr="006C73BB">
        <w:tc>
          <w:tcPr>
            <w:tcW w:w="2300" w:type="dxa"/>
            <w:shd w:val="clear" w:color="auto" w:fill="auto"/>
          </w:tcPr>
          <w:p w14:paraId="043F3BD6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Постусловие</w:t>
            </w:r>
          </w:p>
        </w:tc>
        <w:tc>
          <w:tcPr>
            <w:tcW w:w="7905" w:type="dxa"/>
          </w:tcPr>
          <w:p w14:paraId="08E734E5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Инцидент неизменяемо зарегистрирован в журнале; оповещение передано почтовому серверу (или сбой зафиксирован); передаваемое сообщение не изменено и не задержано.</w:t>
            </w:r>
          </w:p>
        </w:tc>
      </w:tr>
      <w:tr w:rsidR="006C73BB" w:rsidRPr="00AA75AB" w14:paraId="09C00AD1" w14:textId="77777777" w:rsidTr="006C73BB">
        <w:tc>
          <w:tcPr>
            <w:tcW w:w="2300" w:type="dxa"/>
            <w:shd w:val="clear" w:color="auto" w:fill="auto"/>
          </w:tcPr>
          <w:p w14:paraId="732B9DDB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Специальные требования</w:t>
            </w:r>
          </w:p>
        </w:tc>
        <w:tc>
          <w:tcPr>
            <w:tcW w:w="7905" w:type="dxa"/>
          </w:tcPr>
          <w:p w14:paraId="6B53D284" w14:textId="77777777" w:rsidR="006C73BB" w:rsidRPr="00822415" w:rsidRDefault="006C73BB" w:rsidP="00F32E4A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822415">
              <w:rPr>
                <w:sz w:val="22"/>
                <w:lang w:val="en-US"/>
              </w:rPr>
              <w:t>NFR-01, NFR-03, NFR-04, NFR-05, CON-01.</w:t>
            </w:r>
          </w:p>
        </w:tc>
      </w:tr>
    </w:tbl>
    <w:p w14:paraId="54A1C082" w14:textId="2088C239" w:rsidR="009A2D70" w:rsidRDefault="009A2D70" w:rsidP="006C73BB">
      <w:pPr>
        <w:spacing w:before="0" w:after="120" w:line="240" w:lineRule="auto"/>
        <w:ind w:firstLine="0"/>
        <w:rPr>
          <w:lang w:val="en-US"/>
        </w:rPr>
      </w:pPr>
      <w:r w:rsidRPr="009A2D70">
        <w:rPr>
          <w:lang w:val="en-US"/>
        </w:rPr>
        <w:drawing>
          <wp:inline distT="0" distB="0" distL="0" distR="0" wp14:anchorId="741E5483" wp14:editId="77440F81">
            <wp:extent cx="6120130" cy="3145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B6C3" w14:textId="202891D2" w:rsidR="009A2D70" w:rsidRDefault="009A2D70" w:rsidP="009A2D70">
      <w:pPr>
        <w:spacing w:before="0" w:after="360" w:line="240" w:lineRule="auto"/>
        <w:ind w:firstLine="0"/>
        <w:jc w:val="center"/>
      </w:pPr>
      <w:r>
        <w:t xml:space="preserve">Рисунок 12 – </w:t>
      </w:r>
      <w:r>
        <w:t xml:space="preserve">Диаграмма вариантов использования для </w:t>
      </w:r>
      <w:r>
        <w:rPr>
          <w:lang w:val="en-US"/>
        </w:rPr>
        <w:t>UC</w:t>
      </w:r>
      <w:r w:rsidRPr="009A2D70">
        <w:t>-0</w:t>
      </w:r>
      <w:r>
        <w:t>2</w:t>
      </w:r>
    </w:p>
    <w:p w14:paraId="4F6EDD8F" w14:textId="77777777" w:rsidR="009A2D70" w:rsidRPr="009A2D70" w:rsidRDefault="009A2D70" w:rsidP="009A2D70">
      <w:pPr>
        <w:spacing w:before="0" w:after="360" w:line="240" w:lineRule="auto"/>
        <w:ind w:firstLine="0"/>
        <w:jc w:val="center"/>
      </w:pPr>
    </w:p>
    <w:p w14:paraId="702B1765" w14:textId="77777777" w:rsidR="006C73BB" w:rsidRDefault="006C73BB" w:rsidP="006C73BB">
      <w:pPr>
        <w:keepNext/>
        <w:ind w:firstLine="0"/>
        <w:jc w:val="left"/>
      </w:pPr>
      <w:r>
        <w:t>Таблица А.4 – Сценарий UC-02. Настройка правил обнаружения и списка исключений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7905"/>
      </w:tblGrid>
      <w:tr w:rsidR="006C73BB" w14:paraId="27637040" w14:textId="77777777" w:rsidTr="006C7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  <w:shd w:val="clear" w:color="auto" w:fill="auto"/>
          </w:tcPr>
          <w:p w14:paraId="402D5E93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Идентификатор и наименование</w:t>
            </w:r>
          </w:p>
        </w:tc>
        <w:tc>
          <w:tcPr>
            <w:tcW w:w="7905" w:type="dxa"/>
          </w:tcPr>
          <w:p w14:paraId="2792020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UC-02. Настройка правил обнаружения и списка исключений</w:t>
            </w:r>
          </w:p>
        </w:tc>
      </w:tr>
      <w:tr w:rsidR="006C73BB" w14:paraId="363B467C" w14:textId="77777777" w:rsidTr="006C73BB">
        <w:tc>
          <w:tcPr>
            <w:tcW w:w="2300" w:type="dxa"/>
            <w:shd w:val="clear" w:color="auto" w:fill="auto"/>
          </w:tcPr>
          <w:p w14:paraId="2CD60E35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Основной актор</w:t>
            </w:r>
          </w:p>
        </w:tc>
        <w:tc>
          <w:tcPr>
            <w:tcW w:w="7905" w:type="dxa"/>
          </w:tcPr>
          <w:p w14:paraId="2AEBE19E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Администратор безопасности</w:t>
            </w:r>
          </w:p>
        </w:tc>
      </w:tr>
      <w:tr w:rsidR="006C73BB" w14:paraId="2FDD9EE0" w14:textId="77777777" w:rsidTr="006C73BB">
        <w:tc>
          <w:tcPr>
            <w:tcW w:w="2300" w:type="dxa"/>
            <w:shd w:val="clear" w:color="auto" w:fill="auto"/>
          </w:tcPr>
          <w:p w14:paraId="1B0BE5F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Предусловие</w:t>
            </w:r>
          </w:p>
        </w:tc>
        <w:tc>
          <w:tcPr>
            <w:tcW w:w="7905" w:type="dxa"/>
          </w:tcPr>
          <w:p w14:paraId="3281927D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Администратор аутентифицирован (роль «администратор»).</w:t>
            </w:r>
          </w:p>
        </w:tc>
      </w:tr>
      <w:tr w:rsidR="006C73BB" w14:paraId="20385BA5" w14:textId="77777777" w:rsidTr="006C73BB">
        <w:tc>
          <w:tcPr>
            <w:tcW w:w="2300" w:type="dxa"/>
            <w:shd w:val="clear" w:color="auto" w:fill="auto"/>
          </w:tcPr>
          <w:p w14:paraId="6424CC91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Основной поток событий</w:t>
            </w:r>
          </w:p>
        </w:tc>
        <w:tc>
          <w:tcPr>
            <w:tcW w:w="7905" w:type="dxa"/>
          </w:tcPr>
          <w:p w14:paraId="72C8C4AB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1. Администратор открывает раздел «Правила обнаружения». (FR-23)</w:t>
            </w:r>
          </w:p>
          <w:p w14:paraId="1B2DC6D7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2. Система отображает список правил с типом и состоянием (включено/отключено). (FR-18)</w:t>
            </w:r>
          </w:p>
          <w:p w14:paraId="4631DD2D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3. Администратор выбирает «Добавить правило» и задаёт название, тип (регулярное выражение, ключевое слово, словарь), шаблон, контекстные маркеры и уровень важности. (FR-18, FR-06, FR-07, FR-08)</w:t>
            </w:r>
          </w:p>
          <w:p w14:paraId="01FEF499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4. Система проверяет синтаксис шаблона и позволяет выполнить пробную проверку на тестовой строке. (FR-18)</w:t>
            </w:r>
          </w:p>
          <w:p w14:paraId="2CFA3E9E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5. Администратор сохраняет и включает правило. (FR-18)</w:t>
            </w:r>
          </w:p>
          <w:p w14:paraId="1740ED4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6. Система применяет правило к новому трафику без перезагрузки и без остановки перехвата. (FR-18, NFR-05)</w:t>
            </w:r>
          </w:p>
          <w:p w14:paraId="30DA5D0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7. Система фиксирует изменение (кто, что, когда) в служебном журнале. (FR-25)</w:t>
            </w:r>
          </w:p>
          <w:p w14:paraId="4430D3C1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lastRenderedPageBreak/>
              <w:t>8. При необходимости администратор добавляет исключение (значение, адрес, домен) в список исключений. (FR-10)</w:t>
            </w:r>
          </w:p>
        </w:tc>
      </w:tr>
      <w:tr w:rsidR="006C73BB" w14:paraId="4F2DA382" w14:textId="77777777" w:rsidTr="006C73BB">
        <w:tc>
          <w:tcPr>
            <w:tcW w:w="2300" w:type="dxa"/>
            <w:shd w:val="clear" w:color="auto" w:fill="auto"/>
          </w:tcPr>
          <w:p w14:paraId="2D209C3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lastRenderedPageBreak/>
              <w:t>Альтернативные потоки</w:t>
            </w:r>
          </w:p>
        </w:tc>
        <w:tc>
          <w:tcPr>
            <w:tcW w:w="7905" w:type="dxa"/>
          </w:tcPr>
          <w:p w14:paraId="5714AFB5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А1. Шаг 4. Синтаксис шаблона неверен: выводится сообщение об ошибке, правило не сохраняется (FR-18).</w:t>
            </w:r>
          </w:p>
          <w:p w14:paraId="4FA59D87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А2. Шаг 5. Администратор отменяет действие: изменения не применяются и в журнал изменений не попадают (FR-18).</w:t>
            </w:r>
          </w:p>
          <w:p w14:paraId="1F9917AA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А3. Шаг 1. Пользователь с ролью «наблюдатель» пытается открыть раздел или изменить правило: доступ запрещается, отказ фиксируется в служебном журнале (FR-23, FR-25).</w:t>
            </w:r>
          </w:p>
        </w:tc>
      </w:tr>
      <w:tr w:rsidR="006C73BB" w14:paraId="3E75CE94" w14:textId="77777777" w:rsidTr="006C73BB">
        <w:tc>
          <w:tcPr>
            <w:tcW w:w="2300" w:type="dxa"/>
            <w:shd w:val="clear" w:color="auto" w:fill="auto"/>
          </w:tcPr>
          <w:p w14:paraId="24E68865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Постусловие</w:t>
            </w:r>
          </w:p>
        </w:tc>
        <w:tc>
          <w:tcPr>
            <w:tcW w:w="7905" w:type="dxa"/>
          </w:tcPr>
          <w:p w14:paraId="3B0B602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Новое или изменённое правило действует; изменение зафиксировано в служебном журнале.</w:t>
            </w:r>
          </w:p>
        </w:tc>
      </w:tr>
      <w:tr w:rsidR="006C73BB" w14:paraId="7EA34E53" w14:textId="77777777" w:rsidTr="006C73BB">
        <w:tc>
          <w:tcPr>
            <w:tcW w:w="2300" w:type="dxa"/>
            <w:shd w:val="clear" w:color="auto" w:fill="auto"/>
          </w:tcPr>
          <w:p w14:paraId="4882E5F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Специальные требования</w:t>
            </w:r>
          </w:p>
        </w:tc>
        <w:tc>
          <w:tcPr>
            <w:tcW w:w="7905" w:type="dxa"/>
          </w:tcPr>
          <w:p w14:paraId="60BE467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NFR-14 (время создания правила), NFR-15 (браузеры).</w:t>
            </w:r>
          </w:p>
        </w:tc>
      </w:tr>
    </w:tbl>
    <w:p w14:paraId="5A00BE56" w14:textId="4D6BBC63" w:rsidR="006C73BB" w:rsidRDefault="009A2D70" w:rsidP="009A2D70">
      <w:pPr>
        <w:spacing w:before="0" w:after="120" w:line="240" w:lineRule="auto"/>
        <w:ind w:firstLine="0"/>
        <w:jc w:val="center"/>
      </w:pPr>
      <w:r w:rsidRPr="009A2D70">
        <w:drawing>
          <wp:inline distT="0" distB="0" distL="0" distR="0" wp14:anchorId="6E8B5650" wp14:editId="46628A98">
            <wp:extent cx="4918710" cy="38153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381" cy="381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13A2" w14:textId="17BB5F95" w:rsidR="009A2D70" w:rsidRDefault="009A2D70" w:rsidP="009A2D70">
      <w:pPr>
        <w:spacing w:before="0" w:after="240"/>
        <w:ind w:firstLine="0"/>
        <w:jc w:val="center"/>
      </w:pPr>
      <w:r>
        <w:t xml:space="preserve">Рисунок 13 – </w:t>
      </w:r>
      <w:r>
        <w:t xml:space="preserve">Диаграмма вариантов использования для </w:t>
      </w:r>
      <w:r>
        <w:rPr>
          <w:lang w:val="en-US"/>
        </w:rPr>
        <w:t>UC</w:t>
      </w:r>
      <w:r w:rsidRPr="009A2D70">
        <w:t>-0</w:t>
      </w:r>
      <w:r>
        <w:t>3</w:t>
      </w:r>
    </w:p>
    <w:p w14:paraId="1343ADAF" w14:textId="77777777" w:rsidR="006C73BB" w:rsidRDefault="006C73BB" w:rsidP="006C73BB">
      <w:pPr>
        <w:keepNext/>
        <w:ind w:firstLine="0"/>
        <w:jc w:val="left"/>
      </w:pPr>
      <w:r>
        <w:t>Таблица А.5 – Сценарий UC-03. Просмотр и разбор инцидентов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7905"/>
      </w:tblGrid>
      <w:tr w:rsidR="006C73BB" w14:paraId="36AB069B" w14:textId="77777777" w:rsidTr="006C7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  <w:shd w:val="clear" w:color="auto" w:fill="auto"/>
          </w:tcPr>
          <w:p w14:paraId="266AD783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Идентификатор и наименование</w:t>
            </w:r>
          </w:p>
        </w:tc>
        <w:tc>
          <w:tcPr>
            <w:tcW w:w="7905" w:type="dxa"/>
          </w:tcPr>
          <w:p w14:paraId="6BDA744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UC-03. Просмотр и разбор инцидентов</w:t>
            </w:r>
          </w:p>
        </w:tc>
      </w:tr>
      <w:tr w:rsidR="006C73BB" w14:paraId="031C9407" w14:textId="77777777" w:rsidTr="006C73BB">
        <w:tc>
          <w:tcPr>
            <w:tcW w:w="2300" w:type="dxa"/>
            <w:shd w:val="clear" w:color="auto" w:fill="auto"/>
          </w:tcPr>
          <w:p w14:paraId="5A29413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Основной актор</w:t>
            </w:r>
          </w:p>
        </w:tc>
        <w:tc>
          <w:tcPr>
            <w:tcW w:w="7905" w:type="dxa"/>
          </w:tcPr>
          <w:p w14:paraId="7BB8FF06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Администратор безопасности (пользователь с ролью «наблюдатель» — только просмотр)</w:t>
            </w:r>
          </w:p>
        </w:tc>
      </w:tr>
      <w:tr w:rsidR="006C73BB" w14:paraId="47717847" w14:textId="77777777" w:rsidTr="006C73BB">
        <w:tc>
          <w:tcPr>
            <w:tcW w:w="2300" w:type="dxa"/>
            <w:shd w:val="clear" w:color="auto" w:fill="auto"/>
          </w:tcPr>
          <w:p w14:paraId="7A6773FB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Предусловие</w:t>
            </w:r>
          </w:p>
        </w:tc>
        <w:tc>
          <w:tcPr>
            <w:tcW w:w="7905" w:type="dxa"/>
          </w:tcPr>
          <w:p w14:paraId="6DD9612A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Пользователь аутентифицирован; в журнале есть записи об инцидентах.</w:t>
            </w:r>
          </w:p>
        </w:tc>
      </w:tr>
      <w:tr w:rsidR="006C73BB" w14:paraId="4C0E6567" w14:textId="77777777" w:rsidTr="006C73BB">
        <w:tc>
          <w:tcPr>
            <w:tcW w:w="2300" w:type="dxa"/>
            <w:shd w:val="clear" w:color="auto" w:fill="auto"/>
          </w:tcPr>
          <w:p w14:paraId="6720048C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Основной поток событий</w:t>
            </w:r>
          </w:p>
        </w:tc>
        <w:tc>
          <w:tcPr>
            <w:tcW w:w="7905" w:type="dxa"/>
          </w:tcPr>
          <w:p w14:paraId="525B570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1. Пользователь открывает панель текущих инцидентов. (FR-23, FR-14)</w:t>
            </w:r>
          </w:p>
          <w:p w14:paraId="1525D40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2. Система отображает актуальные инциденты и обновляет их без ручной перезагрузки страницы. (FR-14)</w:t>
            </w:r>
          </w:p>
          <w:p w14:paraId="6742C988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3. Пользователь задаёт фильтры (дата, тип данных, канал, важность, статус) и при необходимости поисковый запрос по отправителю или получателю. (FR-12)</w:t>
            </w:r>
          </w:p>
          <w:p w14:paraId="083A55D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4. Система выводит отфильтрованный список за время не более 3 секунд. (FR-12, NFR-02, NFR-13)</w:t>
            </w:r>
          </w:p>
          <w:p w14:paraId="40FB5D5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lastRenderedPageBreak/>
              <w:t>5. Пользователь открывает инцидент; система показывает отправителя, получателя, канал, время, тип данных, фрагмент, сработавшее правило и применённые проверки. (FR-13, NFR-12, NFR-10)</w:t>
            </w:r>
          </w:p>
          <w:p w14:paraId="0637A1DA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6. Администратор устанавливает статус обработки и добавляет комментарий. (FR-15, FR-23)</w:t>
            </w:r>
          </w:p>
          <w:p w14:paraId="1F48EF3B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7. Система сохраняет отметку отдельной записью без изменения исходной записи и фиксирует действие в служебном журнале. (FR-15, NFR-09, FR-25)</w:t>
            </w:r>
          </w:p>
        </w:tc>
      </w:tr>
      <w:tr w:rsidR="006C73BB" w14:paraId="18F0245C" w14:textId="77777777" w:rsidTr="006C73BB">
        <w:tc>
          <w:tcPr>
            <w:tcW w:w="2300" w:type="dxa"/>
            <w:shd w:val="clear" w:color="auto" w:fill="auto"/>
          </w:tcPr>
          <w:p w14:paraId="5F54F86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lastRenderedPageBreak/>
              <w:t>Альтернативные потоки</w:t>
            </w:r>
          </w:p>
        </w:tc>
        <w:tc>
          <w:tcPr>
            <w:tcW w:w="7905" w:type="dxa"/>
          </w:tcPr>
          <w:p w14:paraId="59C9AAE1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А1. Шаг 5. Пользователь с ролью «наблюдатель»: фрагмент данных отображается маскированным, установка статуса недоступна (FR-23, NFR-10).</w:t>
            </w:r>
          </w:p>
          <w:p w14:paraId="28AD6D6E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А2. Шаг 4. По заданным фильтрам записей нет: система выводит сообщение об отсутствии данных (FR-12).</w:t>
            </w:r>
          </w:p>
          <w:p w14:paraId="204BD9D3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А3. Шаг 5. Администратор открывает немаскированный фрагмент: факт просмотра фиксируется в служебном журнале (FR-25).</w:t>
            </w:r>
          </w:p>
        </w:tc>
      </w:tr>
      <w:tr w:rsidR="006C73BB" w14:paraId="439B2FBE" w14:textId="77777777" w:rsidTr="006C73BB">
        <w:tc>
          <w:tcPr>
            <w:tcW w:w="2300" w:type="dxa"/>
            <w:shd w:val="clear" w:color="auto" w:fill="auto"/>
          </w:tcPr>
          <w:p w14:paraId="4FAF9372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Постусловие</w:t>
            </w:r>
          </w:p>
        </w:tc>
        <w:tc>
          <w:tcPr>
            <w:tcW w:w="7905" w:type="dxa"/>
          </w:tcPr>
          <w:p w14:paraId="1DB854D5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Инцидент имеет актуальный статус обработки; исходная запись журнала не изменена.</w:t>
            </w:r>
          </w:p>
        </w:tc>
      </w:tr>
      <w:tr w:rsidR="006C73BB" w14:paraId="1136E4C2" w14:textId="77777777" w:rsidTr="006C73BB">
        <w:tc>
          <w:tcPr>
            <w:tcW w:w="2300" w:type="dxa"/>
            <w:shd w:val="clear" w:color="auto" w:fill="auto"/>
          </w:tcPr>
          <w:p w14:paraId="338366FD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Специальные требования</w:t>
            </w:r>
          </w:p>
        </w:tc>
        <w:tc>
          <w:tcPr>
            <w:tcW w:w="7905" w:type="dxa"/>
          </w:tcPr>
          <w:p w14:paraId="5312BF0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NFR-02, NFR-09, NFR-10, NFR-13.</w:t>
            </w:r>
          </w:p>
        </w:tc>
      </w:tr>
    </w:tbl>
    <w:p w14:paraId="01F293F6" w14:textId="4EB54D95" w:rsidR="006C73BB" w:rsidRDefault="009A2D70" w:rsidP="009A2D70">
      <w:pPr>
        <w:spacing w:before="0" w:after="120" w:line="240" w:lineRule="auto"/>
        <w:ind w:firstLine="0"/>
        <w:jc w:val="center"/>
      </w:pPr>
      <w:r w:rsidRPr="009A2D70">
        <w:drawing>
          <wp:inline distT="0" distB="0" distL="0" distR="0" wp14:anchorId="138E1337" wp14:editId="6F37E767">
            <wp:extent cx="4804410" cy="3102080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292" cy="310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2E04" w14:textId="6FFF8D8E" w:rsidR="009A2D70" w:rsidRDefault="009A2D70" w:rsidP="009A2D70">
      <w:pPr>
        <w:spacing w:before="0" w:after="120"/>
        <w:ind w:firstLine="0"/>
        <w:jc w:val="center"/>
      </w:pPr>
      <w:r>
        <w:t xml:space="preserve">Рисунок 14 – </w:t>
      </w:r>
      <w:r>
        <w:t xml:space="preserve">Диаграмма вариантов использования для </w:t>
      </w:r>
      <w:r>
        <w:rPr>
          <w:lang w:val="en-US"/>
        </w:rPr>
        <w:t>UC</w:t>
      </w:r>
      <w:r w:rsidRPr="009A2D70">
        <w:t>-0</w:t>
      </w:r>
      <w:r>
        <w:t>4</w:t>
      </w:r>
    </w:p>
    <w:p w14:paraId="3473E426" w14:textId="77777777" w:rsidR="006C73BB" w:rsidRDefault="006C73BB" w:rsidP="006C73BB">
      <w:pPr>
        <w:keepNext/>
        <w:ind w:firstLine="0"/>
        <w:jc w:val="left"/>
      </w:pPr>
      <w:r>
        <w:t>Таблица А.6 – Сценарий UC-04. Формирование отчёта для руководителя организации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7905"/>
      </w:tblGrid>
      <w:tr w:rsidR="006C73BB" w14:paraId="636672F7" w14:textId="77777777" w:rsidTr="006C7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  <w:shd w:val="clear" w:color="auto" w:fill="auto"/>
          </w:tcPr>
          <w:p w14:paraId="5D0455AD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Идентификатор и наименование</w:t>
            </w:r>
          </w:p>
        </w:tc>
        <w:tc>
          <w:tcPr>
            <w:tcW w:w="7905" w:type="dxa"/>
          </w:tcPr>
          <w:p w14:paraId="0A57BFD1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UC-04. Формирование отчёта для руководителя организации</w:t>
            </w:r>
          </w:p>
        </w:tc>
      </w:tr>
      <w:tr w:rsidR="006C73BB" w14:paraId="7AAAEA59" w14:textId="77777777" w:rsidTr="006C73BB">
        <w:tc>
          <w:tcPr>
            <w:tcW w:w="2300" w:type="dxa"/>
            <w:shd w:val="clear" w:color="auto" w:fill="auto"/>
          </w:tcPr>
          <w:p w14:paraId="6C5556DA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Основной актор</w:t>
            </w:r>
          </w:p>
        </w:tc>
        <w:tc>
          <w:tcPr>
            <w:tcW w:w="7905" w:type="dxa"/>
          </w:tcPr>
          <w:p w14:paraId="20F1E355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Руководитель организации (роль «наблюдатель»); отчёт может формировать и администратор</w:t>
            </w:r>
          </w:p>
        </w:tc>
      </w:tr>
      <w:tr w:rsidR="006C73BB" w14:paraId="3836203B" w14:textId="77777777" w:rsidTr="006C73BB">
        <w:tc>
          <w:tcPr>
            <w:tcW w:w="2300" w:type="dxa"/>
            <w:shd w:val="clear" w:color="auto" w:fill="auto"/>
          </w:tcPr>
          <w:p w14:paraId="09ED5A9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Предусловие</w:t>
            </w:r>
          </w:p>
        </w:tc>
        <w:tc>
          <w:tcPr>
            <w:tcW w:w="7905" w:type="dxa"/>
          </w:tcPr>
          <w:p w14:paraId="71B7EE19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Пользователь аутентифицирован; в журнале за выбранный период есть записи.</w:t>
            </w:r>
          </w:p>
        </w:tc>
      </w:tr>
      <w:tr w:rsidR="006C73BB" w14:paraId="26930B54" w14:textId="77777777" w:rsidTr="006C73BB">
        <w:tc>
          <w:tcPr>
            <w:tcW w:w="2300" w:type="dxa"/>
            <w:shd w:val="clear" w:color="auto" w:fill="auto"/>
          </w:tcPr>
          <w:p w14:paraId="0F7F47A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Основной поток событий</w:t>
            </w:r>
          </w:p>
        </w:tc>
        <w:tc>
          <w:tcPr>
            <w:tcW w:w="7905" w:type="dxa"/>
          </w:tcPr>
          <w:p w14:paraId="20EDCCA8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1. Пользователь открывает раздел «Отчёты». (FR-23)</w:t>
            </w:r>
          </w:p>
          <w:p w14:paraId="5DD118D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2. Пользователь выбирает период (например, календарный месяц) и вид отчёта. (FR-20, FR-21)</w:t>
            </w:r>
          </w:p>
          <w:p w14:paraId="39B26804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3. Система рассчитывает статистику: количество инцидентов по типам данных, каналам и уровням важности, динамику по датам. (FR-20)</w:t>
            </w:r>
          </w:p>
          <w:p w14:paraId="0C4D239E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4. Система отображает сводку на экране. (FR-20)</w:t>
            </w:r>
          </w:p>
          <w:p w14:paraId="065C26CA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5. Пользователь выбирает формат PDF. (FR-21)</w:t>
            </w:r>
          </w:p>
          <w:p w14:paraId="1848C45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6. Система формирует файл отчёта за время не более 30 секунд и предлагает его сохранить. (FR-21, NFR-02, NFR-16)</w:t>
            </w:r>
          </w:p>
          <w:p w14:paraId="3A9FFBFE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lastRenderedPageBreak/>
              <w:t>7. Система фиксирует формирование отчёта в служебном журнале. (FR-25)</w:t>
            </w:r>
          </w:p>
        </w:tc>
      </w:tr>
      <w:tr w:rsidR="006C73BB" w14:paraId="6D77D3F5" w14:textId="77777777" w:rsidTr="006C73BB">
        <w:tc>
          <w:tcPr>
            <w:tcW w:w="2300" w:type="dxa"/>
            <w:shd w:val="clear" w:color="auto" w:fill="auto"/>
          </w:tcPr>
          <w:p w14:paraId="7226570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lastRenderedPageBreak/>
              <w:t>Альтернативные потоки</w:t>
            </w:r>
          </w:p>
        </w:tc>
        <w:tc>
          <w:tcPr>
            <w:tcW w:w="7905" w:type="dxa"/>
          </w:tcPr>
          <w:p w14:paraId="43E491C3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А1. Шаг 3. За период нет записей: отчёт формируется с нулевыми значениями и пометкой об отсутствии инцидентов (FR-20).</w:t>
            </w:r>
          </w:p>
          <w:p w14:paraId="32B8BBEF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А2. Шаг 5. Пользователь выбирает экспорт в XLSX: формируется файл с журналом и статистикой (FR-22).</w:t>
            </w:r>
          </w:p>
          <w:p w14:paraId="740E8E59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А3. Шаг 5. Пользователь с ролью «наблюдатель» запрашивает полные фрагменты: в экспорт включаются только маскированные значения (FR-22, FR-23, NFR-10).</w:t>
            </w:r>
          </w:p>
        </w:tc>
      </w:tr>
      <w:tr w:rsidR="006C73BB" w14:paraId="3FBD6988" w14:textId="77777777" w:rsidTr="006C73BB">
        <w:tc>
          <w:tcPr>
            <w:tcW w:w="2300" w:type="dxa"/>
            <w:shd w:val="clear" w:color="auto" w:fill="auto"/>
          </w:tcPr>
          <w:p w14:paraId="290B3FF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Постусловие</w:t>
            </w:r>
          </w:p>
        </w:tc>
        <w:tc>
          <w:tcPr>
            <w:tcW w:w="7905" w:type="dxa"/>
          </w:tcPr>
          <w:p w14:paraId="2FA09D40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Отчёт сформирован и сохранён пользователем; данные журнала не изменены.</w:t>
            </w:r>
          </w:p>
        </w:tc>
      </w:tr>
      <w:tr w:rsidR="006C73BB" w14:paraId="7856593C" w14:textId="77777777" w:rsidTr="006C73BB">
        <w:tc>
          <w:tcPr>
            <w:tcW w:w="2300" w:type="dxa"/>
            <w:shd w:val="clear" w:color="auto" w:fill="auto"/>
          </w:tcPr>
          <w:p w14:paraId="6086529B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Специальные требования</w:t>
            </w:r>
          </w:p>
        </w:tc>
        <w:tc>
          <w:tcPr>
            <w:tcW w:w="7905" w:type="dxa"/>
          </w:tcPr>
          <w:p w14:paraId="1C1BFA19" w14:textId="77777777" w:rsidR="006C73BB" w:rsidRDefault="006C73BB" w:rsidP="00F32E4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NFR-02, NFR-10, NFR-16.</w:t>
            </w:r>
          </w:p>
        </w:tc>
      </w:tr>
    </w:tbl>
    <w:p w14:paraId="23AA4FEE" w14:textId="77777777" w:rsidR="006C73BB" w:rsidRDefault="006C73BB" w:rsidP="006C73BB">
      <w:pPr>
        <w:spacing w:before="0" w:after="120" w:line="240" w:lineRule="auto"/>
        <w:ind w:firstLine="0"/>
      </w:pPr>
    </w:p>
    <w:p w14:paraId="6FCA9801" w14:textId="77777777" w:rsidR="00FC217E" w:rsidRPr="006C73BB" w:rsidRDefault="00FC217E" w:rsidP="006C73BB"/>
    <w:sectPr w:rsidR="00FC217E" w:rsidRPr="006C73BB" w:rsidSect="00A24538">
      <w:headerReference w:type="default" r:id="rId12"/>
      <w:pgSz w:w="11906" w:h="16838"/>
      <w:pgMar w:top="567" w:right="1134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35A87" w14:textId="77777777" w:rsidR="00123084" w:rsidRDefault="00123084">
      <w:pPr>
        <w:spacing w:before="0" w:line="240" w:lineRule="auto"/>
      </w:pPr>
      <w:r>
        <w:separator/>
      </w:r>
    </w:p>
  </w:endnote>
  <w:endnote w:type="continuationSeparator" w:id="0">
    <w:p w14:paraId="77F069ED" w14:textId="77777777" w:rsidR="00123084" w:rsidRDefault="0012308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96E81" w14:textId="77777777" w:rsidR="00123084" w:rsidRDefault="00123084">
      <w:pPr>
        <w:spacing w:before="0" w:line="240" w:lineRule="auto"/>
      </w:pPr>
      <w:r>
        <w:separator/>
      </w:r>
    </w:p>
  </w:footnote>
  <w:footnote w:type="continuationSeparator" w:id="0">
    <w:p w14:paraId="4523DD1B" w14:textId="77777777" w:rsidR="00123084" w:rsidRDefault="0012308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2D98A" w14:textId="77777777" w:rsidR="0023221D" w:rsidRPr="00C17A21" w:rsidRDefault="00FC217E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45207480" w14:textId="77777777" w:rsidR="0023221D" w:rsidRPr="008E27BF" w:rsidRDefault="00123084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4EF73F6"/>
    <w:multiLevelType w:val="hybridMultilevel"/>
    <w:tmpl w:val="FEB6256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F40F4E"/>
    <w:multiLevelType w:val="hybridMultilevel"/>
    <w:tmpl w:val="916E984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3D2132"/>
    <w:multiLevelType w:val="hybridMultilevel"/>
    <w:tmpl w:val="521A2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07F19"/>
    <w:multiLevelType w:val="hybridMultilevel"/>
    <w:tmpl w:val="E3A4CB72"/>
    <w:lvl w:ilvl="0" w:tplc="D4A082DC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F4925F6"/>
    <w:multiLevelType w:val="hybridMultilevel"/>
    <w:tmpl w:val="2FE483D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C856BB"/>
    <w:multiLevelType w:val="multilevel"/>
    <w:tmpl w:val="FE908C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A5B29"/>
    <w:multiLevelType w:val="hybridMultilevel"/>
    <w:tmpl w:val="1C1266E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C05A2E"/>
    <w:multiLevelType w:val="hybridMultilevel"/>
    <w:tmpl w:val="D072335A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FF16848"/>
    <w:multiLevelType w:val="hybridMultilevel"/>
    <w:tmpl w:val="A64EB02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0DB72D2"/>
    <w:multiLevelType w:val="hybridMultilevel"/>
    <w:tmpl w:val="600C1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1ED0C12"/>
    <w:multiLevelType w:val="hybridMultilevel"/>
    <w:tmpl w:val="5FE08D1A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46D7EAC"/>
    <w:multiLevelType w:val="hybridMultilevel"/>
    <w:tmpl w:val="D0EEE826"/>
    <w:lvl w:ilvl="0" w:tplc="A0C8AE2C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CAC4470"/>
    <w:multiLevelType w:val="hybridMultilevel"/>
    <w:tmpl w:val="5F747CE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64465A5"/>
    <w:multiLevelType w:val="hybridMultilevel"/>
    <w:tmpl w:val="26169F56"/>
    <w:lvl w:ilvl="0" w:tplc="9A4AA23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7FE2CA7"/>
    <w:multiLevelType w:val="hybridMultilevel"/>
    <w:tmpl w:val="59E88B90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C9D67E9"/>
    <w:multiLevelType w:val="hybridMultilevel"/>
    <w:tmpl w:val="1FE631DA"/>
    <w:lvl w:ilvl="0" w:tplc="74C083C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E7230F3"/>
    <w:multiLevelType w:val="hybridMultilevel"/>
    <w:tmpl w:val="222676CC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2" w15:restartNumberingAfterBreak="0">
    <w:nsid w:val="4F163EFA"/>
    <w:multiLevelType w:val="hybridMultilevel"/>
    <w:tmpl w:val="5FB64BC8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509F1D04"/>
    <w:multiLevelType w:val="hybridMultilevel"/>
    <w:tmpl w:val="92987C6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8640CF"/>
    <w:multiLevelType w:val="hybridMultilevel"/>
    <w:tmpl w:val="83E2DA14"/>
    <w:lvl w:ilvl="0" w:tplc="0B0E6BCA">
      <w:start w:val="1"/>
      <w:numFmt w:val="decimal"/>
      <w:lvlText w:val="Рисунок %1 −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5" w15:restartNumberingAfterBreak="0">
    <w:nsid w:val="58591B6F"/>
    <w:multiLevelType w:val="hybridMultilevel"/>
    <w:tmpl w:val="358C87F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92954F6"/>
    <w:multiLevelType w:val="hybridMultilevel"/>
    <w:tmpl w:val="6EC262E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046096"/>
    <w:multiLevelType w:val="hybridMultilevel"/>
    <w:tmpl w:val="5CEA012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FDB224E"/>
    <w:multiLevelType w:val="hybridMultilevel"/>
    <w:tmpl w:val="99BC3080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6047C5C"/>
    <w:multiLevelType w:val="hybridMultilevel"/>
    <w:tmpl w:val="5B32EB3C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902C0D"/>
    <w:multiLevelType w:val="hybridMultilevel"/>
    <w:tmpl w:val="37A63626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07473D7"/>
    <w:multiLevelType w:val="hybridMultilevel"/>
    <w:tmpl w:val="98243DE0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6305A7E"/>
    <w:multiLevelType w:val="hybridMultilevel"/>
    <w:tmpl w:val="A34873E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5220FE"/>
    <w:multiLevelType w:val="hybridMultilevel"/>
    <w:tmpl w:val="C00E863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E1124F5"/>
    <w:multiLevelType w:val="hybridMultilevel"/>
    <w:tmpl w:val="ED206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2D40E8"/>
    <w:multiLevelType w:val="hybridMultilevel"/>
    <w:tmpl w:val="A82874F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4"/>
  </w:num>
  <w:num w:numId="4">
    <w:abstractNumId w:val="8"/>
  </w:num>
  <w:num w:numId="5">
    <w:abstractNumId w:val="9"/>
  </w:num>
  <w:num w:numId="6">
    <w:abstractNumId w:val="19"/>
  </w:num>
  <w:num w:numId="7">
    <w:abstractNumId w:val="17"/>
  </w:num>
  <w:num w:numId="8">
    <w:abstractNumId w:val="9"/>
    <w:lvlOverride w:ilvl="0">
      <w:startOverride w:val="4"/>
    </w:lvlOverride>
    <w:lvlOverride w:ilvl="1">
      <w:startOverride w:val="3"/>
    </w:lvlOverride>
  </w:num>
  <w:num w:numId="9">
    <w:abstractNumId w:val="1"/>
  </w:num>
  <w:num w:numId="10">
    <w:abstractNumId w:val="6"/>
  </w:num>
  <w:num w:numId="11">
    <w:abstractNumId w:val="4"/>
  </w:num>
  <w:num w:numId="12">
    <w:abstractNumId w:val="31"/>
  </w:num>
  <w:num w:numId="13">
    <w:abstractNumId w:val="15"/>
  </w:num>
  <w:num w:numId="14">
    <w:abstractNumId w:val="12"/>
  </w:num>
  <w:num w:numId="15">
    <w:abstractNumId w:val="25"/>
  </w:num>
  <w:num w:numId="16">
    <w:abstractNumId w:val="24"/>
  </w:num>
  <w:num w:numId="17">
    <w:abstractNumId w:val="32"/>
  </w:num>
  <w:num w:numId="18">
    <w:abstractNumId w:val="35"/>
  </w:num>
  <w:num w:numId="19">
    <w:abstractNumId w:val="10"/>
  </w:num>
  <w:num w:numId="20">
    <w:abstractNumId w:val="2"/>
  </w:num>
  <w:num w:numId="21">
    <w:abstractNumId w:val="23"/>
  </w:num>
  <w:num w:numId="22">
    <w:abstractNumId w:val="21"/>
  </w:num>
  <w:num w:numId="23">
    <w:abstractNumId w:val="22"/>
  </w:num>
  <w:num w:numId="24">
    <w:abstractNumId w:val="28"/>
  </w:num>
  <w:num w:numId="25">
    <w:abstractNumId w:val="34"/>
  </w:num>
  <w:num w:numId="26">
    <w:abstractNumId w:val="30"/>
  </w:num>
  <w:num w:numId="27">
    <w:abstractNumId w:val="3"/>
  </w:num>
  <w:num w:numId="28">
    <w:abstractNumId w:val="26"/>
  </w:num>
  <w:num w:numId="29">
    <w:abstractNumId w:val="7"/>
  </w:num>
  <w:num w:numId="30">
    <w:abstractNumId w:val="16"/>
  </w:num>
  <w:num w:numId="31">
    <w:abstractNumId w:val="27"/>
  </w:num>
  <w:num w:numId="32">
    <w:abstractNumId w:val="20"/>
  </w:num>
  <w:num w:numId="33">
    <w:abstractNumId w:val="5"/>
  </w:num>
  <w:num w:numId="34">
    <w:abstractNumId w:val="33"/>
  </w:num>
  <w:num w:numId="35">
    <w:abstractNumId w:val="13"/>
  </w:num>
  <w:num w:numId="36">
    <w:abstractNumId w:val="18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38"/>
    <w:rsid w:val="00123084"/>
    <w:rsid w:val="006C73BB"/>
    <w:rsid w:val="00765C2F"/>
    <w:rsid w:val="008338C0"/>
    <w:rsid w:val="00907D02"/>
    <w:rsid w:val="009A2D70"/>
    <w:rsid w:val="00A24538"/>
    <w:rsid w:val="00A7667B"/>
    <w:rsid w:val="00AA75AB"/>
    <w:rsid w:val="00E929D7"/>
    <w:rsid w:val="00F32C96"/>
    <w:rsid w:val="00FC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883AA"/>
  <w15:chartTrackingRefBased/>
  <w15:docId w15:val="{072A6F67-8F4E-4212-BF67-9F042953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A24538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A24538"/>
    <w:pPr>
      <w:keepNext/>
      <w:keepLines/>
      <w:pageBreakBefore/>
      <w:numPr>
        <w:numId w:val="5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A24538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A24538"/>
    <w:pPr>
      <w:keepNext/>
      <w:keepLines/>
      <w:numPr>
        <w:ilvl w:val="2"/>
        <w:numId w:val="5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A24538"/>
    <w:pPr>
      <w:keepNext/>
      <w:keepLines/>
      <w:numPr>
        <w:ilvl w:val="3"/>
        <w:numId w:val="5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A24538"/>
    <w:pPr>
      <w:keepNext/>
      <w:keepLines/>
      <w:numPr>
        <w:ilvl w:val="4"/>
        <w:numId w:val="5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A24538"/>
    <w:pPr>
      <w:keepNext/>
      <w:keepLines/>
      <w:numPr>
        <w:ilvl w:val="5"/>
        <w:numId w:val="5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A24538"/>
    <w:pPr>
      <w:keepNext/>
      <w:keepLines/>
      <w:numPr>
        <w:ilvl w:val="6"/>
        <w:numId w:val="5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A24538"/>
    <w:pPr>
      <w:keepNext/>
      <w:keepLines/>
      <w:numPr>
        <w:ilvl w:val="7"/>
        <w:numId w:val="5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A24538"/>
    <w:pPr>
      <w:keepNext/>
      <w:keepLines/>
      <w:numPr>
        <w:ilvl w:val="8"/>
        <w:numId w:val="5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A24538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A24538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A24538"/>
    <w:rPr>
      <w:rFonts w:ascii="Times New Roman" w:eastAsiaTheme="majorEastAsia" w:hAnsi="Times New Roman" w:cs="Times New Roman"/>
      <w:b/>
      <w:bCs/>
      <w:kern w:val="0"/>
      <w:sz w:val="24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A24538"/>
    <w:rPr>
      <w:rFonts w:ascii="Times New Roman" w:eastAsiaTheme="majorEastAsia" w:hAnsi="Times New Roman" w:cs="Times New Roman"/>
      <w:b/>
      <w:bCs/>
      <w:iCs/>
      <w:kern w:val="0"/>
      <w:sz w:val="24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A24538"/>
    <w:rPr>
      <w:rFonts w:ascii="Times New Roman" w:eastAsiaTheme="majorEastAsia" w:hAnsi="Times New Roman" w:cs="Times New Roman"/>
      <w:b/>
      <w:kern w:val="0"/>
      <w:sz w:val="24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A24538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A24538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A24538"/>
    <w:rPr>
      <w:rFonts w:ascii="Times New Roman" w:eastAsiaTheme="majorEastAsia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A24538"/>
    <w:rPr>
      <w:rFonts w:asciiTheme="majorHAnsi" w:eastAsiaTheme="majorEastAsia" w:hAnsiTheme="majorHAnsi" w:cstheme="majorBidi"/>
      <w:iCs/>
      <w:kern w:val="0"/>
      <w:sz w:val="24"/>
      <w:szCs w:val="28"/>
      <w:lang w:eastAsia="ru-RU"/>
      <w14:ligatures w14:val="none"/>
    </w:rPr>
  </w:style>
  <w:style w:type="paragraph" w:styleId="a0">
    <w:name w:val="List Paragraph"/>
    <w:aliases w:val="vgu_List1"/>
    <w:basedOn w:val="a1"/>
    <w:link w:val="a5"/>
    <w:uiPriority w:val="34"/>
    <w:qFormat/>
    <w:rsid w:val="00A24538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A2453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vguList2">
    <w:name w:val="vgu_List2"/>
    <w:basedOn w:val="a0"/>
    <w:qFormat/>
    <w:rsid w:val="00A24538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A24538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A24538"/>
    <w:rPr>
      <w:color w:val="0563C1" w:themeColor="hyperlink"/>
      <w:u w:val="single"/>
    </w:rPr>
  </w:style>
  <w:style w:type="paragraph" w:customStyle="1" w:styleId="vguNumber">
    <w:name w:val="vgu_Number"/>
    <w:basedOn w:val="a0"/>
    <w:rsid w:val="00A24538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A24538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A24538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A24538"/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paragraph" w:styleId="a7">
    <w:name w:val="Balloon Text"/>
    <w:basedOn w:val="a1"/>
    <w:link w:val="a8"/>
    <w:uiPriority w:val="99"/>
    <w:semiHidden/>
    <w:unhideWhenUsed/>
    <w:rsid w:val="00A24538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A24538"/>
    <w:rPr>
      <w:rFonts w:ascii="Tahoma" w:eastAsiaTheme="minorEastAsia" w:hAnsi="Tahoma" w:cs="Tahoma"/>
      <w:kern w:val="0"/>
      <w:sz w:val="16"/>
      <w:szCs w:val="16"/>
      <w:lang w:eastAsia="ru-RU"/>
      <w14:ligatures w14:val="none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A24538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A24538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styleId="ab">
    <w:name w:val="Subtle Emphasis"/>
    <w:basedOn w:val="a2"/>
    <w:uiPriority w:val="99"/>
    <w:qFormat/>
    <w:rsid w:val="00A24538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A24538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A24538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A2453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vguAdditionName">
    <w:name w:val="vgu_AdditionName"/>
    <w:basedOn w:val="1"/>
    <w:qFormat/>
    <w:rsid w:val="00A24538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A2453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A24538"/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A24538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A24538"/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styleId="21">
    <w:name w:val="toc 2"/>
    <w:aliases w:val="vguC_Contents2"/>
    <w:basedOn w:val="a1"/>
    <w:next w:val="a1"/>
    <w:autoRedefine/>
    <w:uiPriority w:val="39"/>
    <w:rsid w:val="00A24538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A24538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A245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A24538"/>
    <w:pPr>
      <w:spacing w:before="60" w:after="60" w:line="276" w:lineRule="auto"/>
      <w:ind w:firstLine="0"/>
      <w:contextualSpacing w:val="0"/>
      <w:jc w:val="left"/>
    </w:pPr>
    <w:rPr>
      <w:szCs w:val="18"/>
    </w:rPr>
  </w:style>
  <w:style w:type="character" w:customStyle="1" w:styleId="vgutTableName0">
    <w:name w:val="vgut_TableName Знак"/>
    <w:basedOn w:val="aa"/>
    <w:link w:val="vgutTableName"/>
    <w:rsid w:val="00A24538"/>
    <w:rPr>
      <w:rFonts w:ascii="Times New Roman" w:eastAsiaTheme="minorEastAsia" w:hAnsi="Times New Roman"/>
      <w:bCs w:val="0"/>
      <w:kern w:val="0"/>
      <w:sz w:val="24"/>
      <w:szCs w:val="18"/>
      <w:lang w:eastAsia="ru-RU"/>
      <w14:ligatures w14:val="none"/>
    </w:rPr>
  </w:style>
  <w:style w:type="paragraph" w:styleId="ad">
    <w:name w:val="header"/>
    <w:aliases w:val="vgux_TitleHeader"/>
    <w:basedOn w:val="a1"/>
    <w:link w:val="ae"/>
    <w:uiPriority w:val="99"/>
    <w:unhideWhenUsed/>
    <w:rsid w:val="00A2453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A2453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af">
    <w:name w:val="footer"/>
    <w:aliases w:val="vgux_TitleFooter"/>
    <w:basedOn w:val="a1"/>
    <w:link w:val="af0"/>
    <w:uiPriority w:val="98"/>
    <w:unhideWhenUsed/>
    <w:rsid w:val="00A24538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A24538"/>
    <w:rPr>
      <w:rFonts w:ascii="Times New Roman" w:eastAsiaTheme="minorEastAsia" w:hAnsi="Times New Roman"/>
      <w:b/>
      <w:kern w:val="0"/>
      <w:sz w:val="32"/>
      <w:lang w:eastAsia="ru-RU"/>
      <w14:ligatures w14:val="none"/>
    </w:rPr>
  </w:style>
  <w:style w:type="character" w:styleId="af1">
    <w:name w:val="page number"/>
    <w:aliases w:val="vgux_PageNumber"/>
    <w:basedOn w:val="a2"/>
    <w:rsid w:val="00A24538"/>
    <w:rPr>
      <w:szCs w:val="24"/>
    </w:rPr>
  </w:style>
  <w:style w:type="paragraph" w:customStyle="1" w:styleId="vguxTitleDocName">
    <w:name w:val="vgux_TitleDocName"/>
    <w:basedOn w:val="a1"/>
    <w:qFormat/>
    <w:rsid w:val="00A24538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A24538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A24538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A24538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A2453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A2453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A24538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2453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24538"/>
    <w:rPr>
      <w:rFonts w:ascii="Times New Roman" w:eastAsiaTheme="minorEastAsia" w:hAnsi="Times New Roman"/>
      <w:b/>
      <w:bCs/>
      <w:kern w:val="0"/>
      <w:sz w:val="20"/>
      <w:szCs w:val="20"/>
      <w:lang w:eastAsia="ru-RU"/>
      <w14:ligatures w14:val="none"/>
    </w:rPr>
  </w:style>
  <w:style w:type="paragraph" w:styleId="af7">
    <w:name w:val="footnote text"/>
    <w:basedOn w:val="a1"/>
    <w:link w:val="af8"/>
    <w:uiPriority w:val="99"/>
    <w:unhideWhenUsed/>
    <w:rsid w:val="00A24538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A24538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character" w:styleId="af9">
    <w:name w:val="footnote reference"/>
    <w:basedOn w:val="a2"/>
    <w:uiPriority w:val="99"/>
    <w:semiHidden/>
    <w:unhideWhenUsed/>
    <w:rsid w:val="00A24538"/>
    <w:rPr>
      <w:vertAlign w:val="superscript"/>
    </w:rPr>
  </w:style>
  <w:style w:type="paragraph" w:styleId="afa">
    <w:name w:val="Revision"/>
    <w:hidden/>
    <w:uiPriority w:val="99"/>
    <w:semiHidden/>
    <w:rsid w:val="00A24538"/>
    <w:pPr>
      <w:spacing w:after="0" w:line="240" w:lineRule="auto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fb">
    <w:name w:val="TOC Heading"/>
    <w:basedOn w:val="1"/>
    <w:next w:val="a1"/>
    <w:uiPriority w:val="39"/>
    <w:unhideWhenUsed/>
    <w:qFormat/>
    <w:rsid w:val="00A24538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character" w:styleId="afc">
    <w:name w:val="Strong"/>
    <w:basedOn w:val="a2"/>
    <w:uiPriority w:val="22"/>
    <w:qFormat/>
    <w:rsid w:val="00A24538"/>
    <w:rPr>
      <w:b/>
      <w:bCs/>
    </w:rPr>
  </w:style>
  <w:style w:type="paragraph" w:styleId="afd">
    <w:name w:val="Normal (Web)"/>
    <w:basedOn w:val="a1"/>
    <w:uiPriority w:val="99"/>
    <w:unhideWhenUsed/>
    <w:rsid w:val="00A2453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Placeholder Text"/>
    <w:basedOn w:val="a2"/>
    <w:uiPriority w:val="99"/>
    <w:semiHidden/>
    <w:rsid w:val="00A24538"/>
    <w:rPr>
      <w:color w:val="808080"/>
    </w:rPr>
  </w:style>
  <w:style w:type="character" w:customStyle="1" w:styleId="normaltextrun">
    <w:name w:val="normaltextrun"/>
    <w:basedOn w:val="a2"/>
    <w:rsid w:val="00A24538"/>
  </w:style>
  <w:style w:type="paragraph" w:customStyle="1" w:styleId="paragraph">
    <w:name w:val="paragraph"/>
    <w:basedOn w:val="a1"/>
    <w:rsid w:val="00A24538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A24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1647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Белозерова</dc:creator>
  <cp:keywords/>
  <dc:description/>
  <cp:lastModifiedBy>Анастасия Белозерова</cp:lastModifiedBy>
  <cp:revision>5</cp:revision>
  <dcterms:created xsi:type="dcterms:W3CDTF">2026-09-21T18:04:00Z</dcterms:created>
  <dcterms:modified xsi:type="dcterms:W3CDTF">2026-09-25T18:51:00Z</dcterms:modified>
</cp:coreProperties>
</file>