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FCCPC DIGITAL TRANSFORMATION REPORT – SUMMARY</w:t>
      </w:r>
    </w:p>
    <w:p/>
    <w:p>
      <w:r>
        <w:t>1. Executive Overview</w:t>
      </w:r>
    </w:p>
    <w:p>
      <w:r>
        <w:t>The FCCPC is required to automate internal operations in line with the Federal Government’s mandate. While the Commission has made progress in regulatory modernization, internal digitization remains uneven. Many departments operate largely manual processes, with fragmented data storage and low workflow automation.</w:t>
      </w:r>
    </w:p>
    <w:p/>
    <w:p>
      <w:r>
        <w:t>2. Key Departmental Findings</w:t>
      </w:r>
    </w:p>
    <w:p>
      <w:r>
        <w:t>- Procurement: Manual processes dominate; delays caused by paper-based approvals and bid evaluations.</w:t>
      </w:r>
    </w:p>
    <w:p>
      <w:r>
        <w:t>- PRS: Data collection and reporting are mostly manual; lack of dashboards and integrated analytics.</w:t>
      </w:r>
    </w:p>
    <w:p>
      <w:r>
        <w:t>- Finance &amp; Accounts: Heavy reliance on physical vouchers; limited automation in payments, reconciliations, and payroll operations.</w:t>
      </w:r>
    </w:p>
    <w:p>
      <w:r>
        <w:t>- Surveillance &amp; Investigations: Semi-digital but field operations remain manual; need mobile tools.</w:t>
      </w:r>
    </w:p>
    <w:p>
      <w:r>
        <w:t>- Internal Audit: Manual sampling, outdated hardware, and absence of audit software.</w:t>
      </w:r>
    </w:p>
    <w:p>
      <w:r>
        <w:t>- Corporate Affairs: Manual document management; requires EDMS.</w:t>
      </w:r>
    </w:p>
    <w:p>
      <w:r>
        <w:t>- Mergers &amp; Acquisitions: Semi-digital but delays persist due to incomplete submissions and limited analytics.</w:t>
      </w:r>
    </w:p>
    <w:p>
      <w:r>
        <w:t>- Anti-Competitive Practices: Manual evidence collection and slow investigation workflows.</w:t>
      </w:r>
    </w:p>
    <w:p>
      <w:r>
        <w:t>- Lagos Zonal Office: Manual complaint tracking and operational delays; insufficient hardware.</w:t>
      </w:r>
    </w:p>
    <w:p>
      <w:r>
        <w:t>- ICT: Claims high network uptime and existence of a data warehouse, but other units deny awareness; lacks documented cybersecurity, DR, and inventory governance.</w:t>
      </w:r>
    </w:p>
    <w:p/>
    <w:p>
      <w:r>
        <w:t>3. Cross-Cutting Challenges</w:t>
      </w:r>
    </w:p>
    <w:p>
      <w:r>
        <w:t>- Predominantly manual workflows across departments.</w:t>
      </w:r>
    </w:p>
    <w:p>
      <w:r>
        <w:t>- Fragmented document storage (HDDs, cabinets, flash drives).</w:t>
      </w:r>
    </w:p>
    <w:p>
      <w:r>
        <w:t>- Lack of standardized SOPs.</w:t>
      </w:r>
    </w:p>
    <w:p>
      <w:r>
        <w:t>- Limited digital literacy and modern tools.</w:t>
      </w:r>
    </w:p>
    <w:p>
      <w:r>
        <w:t>- Mismatch between ICT’s reported capabilities and user experience across departments.</w:t>
      </w:r>
    </w:p>
    <w:p/>
    <w:p>
      <w:r>
        <w:t>4. Recommended Transformation Actions</w:t>
      </w:r>
    </w:p>
    <w:p>
      <w:r>
        <w:t>Short Term (0–12 months): Hardware upgrades; improve network reliability; staff training; create SOPs; implement basic workflow automation.</w:t>
      </w:r>
    </w:p>
    <w:p>
      <w:r>
        <w:t>Medium Term (12–24 months): Deploy ERP, EDMS, enhanced Case Management System; adopt BI/analytics tools; formalize cybersecurity policies.</w:t>
      </w:r>
    </w:p>
    <w:p>
      <w:r>
        <w:t>Long Term (24–60 months): Achieve full digitization; adopt AI/advanced analytics; introduce enterprise-wide knowledge management.</w:t>
      </w:r>
    </w:p>
    <w:p/>
    <w:p>
      <w:r>
        <w:t>5. Conclusion</w:t>
      </w:r>
    </w:p>
    <w:p>
      <w:r>
        <w:t>FCCPC can become a model digital regulator by investing in automation, adopting integrated systems, improving data governance, and strengthening ICT capabilities. A structured, phased roadmap is essential for sustainable transformation.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