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96"/>
          <w:szCs w:val="96"/>
        </w:rPr>
      </w:pPr>
    </w:p>
    <w:p>
      <w:pPr>
        <w:pStyle w:val="Normal.0"/>
        <w:jc w:val="center"/>
        <w:rPr>
          <w:sz w:val="96"/>
          <w:szCs w:val="96"/>
        </w:rPr>
      </w:pPr>
      <w:r>
        <w:rPr>
          <w:sz w:val="96"/>
          <w:szCs w:val="96"/>
          <w:rtl w:val="0"/>
          <w:lang w:val="it-IT"/>
        </w:rPr>
        <w:t>RELAZIONE PROGETTO</w:t>
      </w:r>
    </w:p>
    <w:p>
      <w:pPr>
        <w:pStyle w:val="Normal.0"/>
        <w:jc w:val="center"/>
        <w:rPr>
          <w:sz w:val="96"/>
          <w:szCs w:val="96"/>
        </w:rPr>
      </w:pPr>
      <w:r>
        <w:rPr>
          <w:sz w:val="96"/>
          <w:szCs w:val="96"/>
          <w:rtl w:val="0"/>
          <w:lang w:val="it-IT"/>
        </w:rPr>
        <w:t>ARCHITETTURE DATI</w:t>
      </w:r>
    </w:p>
    <w:p>
      <w:pPr>
        <w:pStyle w:val="Normal.0"/>
        <w:jc w:val="center"/>
        <w:rPr>
          <w:sz w:val="96"/>
          <w:szCs w:val="96"/>
        </w:rPr>
      </w:pPr>
    </w:p>
    <w:p>
      <w:pPr>
        <w:pStyle w:val="Normal.0"/>
        <w:jc w:val="center"/>
        <w:rPr>
          <w:sz w:val="96"/>
          <w:szCs w:val="96"/>
        </w:rPr>
      </w:pPr>
    </w:p>
    <w:p>
      <w:pPr>
        <w:pStyle w:val="Normal.0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it-IT"/>
        </w:rPr>
        <w:t>MISURAZIONE E MIGLIORAMENTO DELLA QUALITA</w:t>
      </w:r>
      <w:r>
        <w:rPr>
          <w:sz w:val="52"/>
          <w:szCs w:val="52"/>
          <w:rtl w:val="0"/>
          <w:lang w:val="it-IT"/>
        </w:rPr>
        <w:t xml:space="preserve">’ </w:t>
      </w:r>
      <w:r>
        <w:rPr>
          <w:sz w:val="52"/>
          <w:szCs w:val="52"/>
          <w:rtl w:val="0"/>
          <w:lang w:val="it-IT"/>
        </w:rPr>
        <w:t>DEI DATI IN AMBITO FINANZIARIO</w:t>
      </w:r>
    </w:p>
    <w:p>
      <w:pPr>
        <w:pStyle w:val="Normal.0"/>
        <w:jc w:val="center"/>
        <w:rPr>
          <w:sz w:val="96"/>
          <w:szCs w:val="96"/>
        </w:rPr>
      </w:pPr>
    </w:p>
    <w:p>
      <w:pPr>
        <w:pStyle w:val="Normal.0"/>
        <w:jc w:val="center"/>
        <w:rPr>
          <w:sz w:val="96"/>
          <w:szCs w:val="96"/>
        </w:rPr>
      </w:pPr>
    </w:p>
    <w:p>
      <w:pPr>
        <w:pStyle w:val="Normal.0"/>
        <w:jc w:val="right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Beltramelli Fabio                816912</w:t>
      </w:r>
    </w:p>
    <w:p>
      <w:pPr>
        <w:pStyle w:val="Normal.0"/>
        <w:jc w:val="right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Finati Davide                       817508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1) PREMESSA:</w:t>
      </w:r>
      <w:r>
        <w:rPr>
          <w:rFonts w:ascii="Helvetica" w:hAnsi="Helvetica"/>
          <w:b w:val="1"/>
          <w:bCs w:val="1"/>
          <w:rtl w:val="0"/>
          <w:lang w:val="it-IT"/>
        </w:rPr>
        <w:t xml:space="preserve"> </w:t>
      </w:r>
    </w:p>
    <w:p>
      <w:pPr>
        <w:pStyle w:val="Normal.0"/>
      </w:pPr>
      <w:r>
        <w:rPr>
          <w:rtl w:val="0"/>
          <w:lang w:val="it-IT"/>
        </w:rPr>
        <w:t>Il numero di informazioni presenti sul web sta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ultimo periodo diventando sempre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imponente, moltissimi dati riguardanti ambiti completamente diversi e forniti da molteplici fonti sono ormai consultabili da tutti coloro che ne hanno bisogno. Nascono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per tali motivazioni alcune problematiche sia nel gestire un numero cos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>elevato di dati sia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ottenere informazioni rilevanti e corrette da essi.</w:t>
      </w:r>
    </w:p>
    <w:p>
      <w:pPr>
        <w:pStyle w:val="Normal.0"/>
      </w:pPr>
      <w:r>
        <w:rPr>
          <w:rtl w:val="0"/>
          <w:lang w:val="it-IT"/>
        </w:rPr>
        <w:t xml:space="preserve">Per prima 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quindi individuato un ambito di nostro interesse su cui poter misurare la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dati ed eventualmente migliorarla.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ambito scelto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quello finanziario, siamo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partiti da un dataset composto da 1000 titoli su cui era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stato applicato un task di data integration rispetto alle molteplici fonti dalle quali questi dati provenivano.</w:t>
      </w:r>
    </w:p>
    <w:p>
      <w:pPr>
        <w:pStyle w:val="Normal.0"/>
      </w:pPr>
      <w:r>
        <w:rPr>
          <w:rtl w:val="0"/>
          <w:lang w:val="it-IT"/>
        </w:rPr>
        <w:t>La definizione di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dei dati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univoca, poich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la sua misurazione avviene tramite diverse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dimensioni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che forniscono delle caratteristiche con le quali poter dire se dei dati sono buoni o meno e in che misura. Nel nostro contesto sono state individuate diverse dimensioni ritenute rilevanti nel contesto preso in considerazione: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Completezza dei dati: un primo fattore importante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analizzato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stata la dimensione della completezza. Per completezza di intende come e quanto le diverse fonti forniscano le stesse tipologie di dati e come queste influiscano nella problematica dei dati mancanti. 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aspetto fondamentale per poi poter valutare in modo migliore anche le altre dimensioni e con il quale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fornire una prima valutazione della fase precedente di integrazione.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Ridondanza: un secondo aspetto analizzato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la dimensione della ridondanza, la premessa nel nostro contesto era quella di sapere di avere un dataset con numerosi valori ripetuti, questo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uno degli obiettivi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valutare come le diverse fonti si comportano nella descrizione degli stessi titoli. Quello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fatto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quindi una analisi volta a confermare tale ipotesi.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Consistenza: tale dimensione serve a misurare quanto i dati rispettino dei vincoli di dominio e vincoli di integrit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tra i dati stessi.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analisi ha comportato da considerazioni banali sui dati fino a controlli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complessi.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Precisione: un ultimo aspetto considerato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la dimensione della precisione dei dati, per fare ci</w:t>
      </w:r>
      <w:r>
        <w:rPr>
          <w:rtl w:val="0"/>
          <w:lang w:val="it-IT"/>
        </w:rPr>
        <w:t xml:space="preserve">ò è </w:t>
      </w:r>
      <w:r>
        <w:rPr>
          <w:rtl w:val="0"/>
          <w:lang w:val="it-IT"/>
        </w:rPr>
        <w:t xml:space="preserve">stato preso in considerazione uno standard (da noi scelto come i dati ottenuti da Nasdaq.com)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utilizzato come metro di confronto per valutare dapprima la precisione degli attributi presi singolarmente e in secondo luogo la precisione delle diverse fonti.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2) DOMINIO ED OBIETTIVI:</w:t>
      </w:r>
    </w:p>
    <w:p>
      <w:pPr>
        <w:pStyle w:val="Normal.0"/>
      </w:pPr>
      <w:r>
        <w:rPr>
          <w:rtl w:val="0"/>
          <w:lang w:val="it-IT"/>
        </w:rPr>
        <w:t xml:space="preserve">Dopo una prima valutazione del dataset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deciso di lavorare su una porzione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ristretta dei dati che comprendesse i 100 titoli quotati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indice Nasdaq per le solo cinque fonti pi</w:t>
      </w:r>
      <w:r>
        <w:rPr>
          <w:rtl w:val="0"/>
          <w:lang w:val="it-IT"/>
        </w:rPr>
        <w:t>ù “</w:t>
      </w:r>
      <w:r>
        <w:rPr>
          <w:rtl w:val="0"/>
          <w:lang w:val="it-IT"/>
        </w:rPr>
        <w:t>autorevoli</w:t>
      </w:r>
      <w:r>
        <w:rPr>
          <w:rtl w:val="0"/>
          <w:lang w:val="it-IT"/>
        </w:rPr>
        <w:t>”</w:t>
      </w:r>
      <w:r>
        <w:rPr>
          <w:rFonts w:ascii="Avenir Next Medium" w:hAnsi="Avenir Next Medium"/>
          <w:outline w:val="0"/>
          <w:color w:val="838787"/>
          <w:position w:val="2"/>
          <w:sz w:val="66"/>
          <w:szCs w:val="66"/>
          <w:u w:color="838787"/>
          <w:rtl w:val="0"/>
          <w:lang w:val="it-IT"/>
          <w14:textFill>
            <w14:solidFill>
              <w14:srgbClr w14:val="838787"/>
            </w14:solidFill>
          </w14:textFill>
        </w:rPr>
        <w:t xml:space="preserve"> </w:t>
      </w:r>
      <w:r>
        <w:rPr>
          <w:rtl w:val="0"/>
          <w:lang w:val="it-IT"/>
        </w:rPr>
        <w:t>durante la sessione di mercato del 01/07/2011, questo ha permesso delle analisi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accurate ed evitato che fonti meno riconosciute andassero a modificare in maniera eccessiva i risultati di tali analisi.</w:t>
      </w:r>
    </w:p>
    <w:p>
      <w:pPr>
        <w:pStyle w:val="Normal.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obiettivo principale del progetto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quindi misurare la bont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delle dimensioni scelte e cercare di ottenere dei miglioramenti su di esse.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3) DATASET:</w:t>
      </w:r>
    </w:p>
    <w:p>
      <w:pPr>
        <w:pStyle w:val="Normal.0"/>
      </w:pPr>
      <w:r>
        <w:rPr>
          <w:rtl w:val="0"/>
          <w:lang w:val="it-IT"/>
        </w:rPr>
        <w:t xml:space="preserve">Il dataset considerato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composto dai seguenti attributi: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 xml:space="preserve">Source: sorgente dei dati (Bloomberg, GoogleFinance, MSNMoney, Nasdaq, YahooFinance) 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Symbol: ticker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azienda 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ChangePerc: variazione percentuale del titolo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ClosePrice: valore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al momento della chiusura del mercato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OpenPrice: valore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al momento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apertura del mercato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 xml:space="preserve">ChangeInDollars: variazione del valore del titolo durante la giornata 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Volume: numero di contratti scambiati durante la sessione di mercato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HighPrice: valore massimo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raggiunto durante la sessione di mercato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LowPrice: valore minimo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azione raggiunto durante la sessione di mercato 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PreviousClose: valore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alla chiusura del mercato il giorno precedente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YearHigh: valore massimo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raggiunto durante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anno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YearLow: valore minimo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raggiunto durante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anno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NShares: numero di azioni in circolazione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PE: rapporto prezzo/utili per una singola azione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MarketCap: valore totale di una azienda (Nshares * ClosePrice)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Dividend</w:t>
      </w:r>
      <w:r>
        <w:rPr>
          <w:rtl w:val="0"/>
          <w:lang w:val="it-IT"/>
        </w:rPr>
        <w:t>: dividendo</w:t>
      </w:r>
      <w:r>
        <w:rPr>
          <w:rtl w:val="0"/>
          <w:lang w:val="it-IT"/>
        </w:rPr>
        <w:t xml:space="preserve"> distribuito</w:t>
      </w:r>
      <w:r>
        <w:rPr>
          <w:rtl w:val="0"/>
          <w:lang w:val="it-IT"/>
        </w:rPr>
        <w:t xml:space="preserve"> per azione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DividendYield: rapporto tra dividendo e prezzo di una azione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EPS: utile per azione (utile netto / Nshares)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4) ANALISI DATASET E DOMINIO APPLICATIVO:</w:t>
      </w:r>
    </w:p>
    <w:p>
      <w:pPr>
        <w:pStyle w:val="Normal.0"/>
      </w:pPr>
      <w:r>
        <w:rPr>
          <w:rtl w:val="0"/>
          <w:lang w:val="it-IT"/>
        </w:rPr>
        <w:t>Abbiamo effettuato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analisi iniziale sul dataset e del dominio finanziario, tali analisi introduttive sono state utilizzate per valutare in maniera migliore le dimensioni di qualit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, attraverso tale analisi sono stati notati i seguenti aspetti:</w:t>
      </w:r>
    </w:p>
    <w:p>
      <w:pPr>
        <w:pStyle w:val="Normal.0"/>
        <w:numPr>
          <w:ilvl w:val="0"/>
          <w:numId w:val="6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attributo PE matematicamente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assumere un valore negativo che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accettato nella cultura finanziaria, nel dataset 4 fonti su 5 infatti non riportano i valori di PE negativi, al contrario solo msn-money riporta tali valori</w:t>
      </w:r>
    </w:p>
    <w:p>
      <w:pPr>
        <w:pStyle w:val="Normal.0"/>
        <w:numPr>
          <w:ilvl w:val="0"/>
          <w:numId w:val="6"/>
        </w:numPr>
        <w:rPr>
          <w:lang w:val="it-IT"/>
        </w:rPr>
      </w:pPr>
      <w:r>
        <w:rPr>
          <w:rtl w:val="0"/>
          <w:lang w:val="it-IT"/>
        </w:rPr>
        <w:t>Come vedremo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analisi di consistenza il valore che assume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attributo PreviousClose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non coincidere con il valore di PriceOpen in quanto sono possibili transazioni a mercato chiuso</w:t>
      </w:r>
    </w:p>
    <w:p>
      <w:pPr>
        <w:pStyle w:val="Normal.0"/>
        <w:numPr>
          <w:ilvl w:val="0"/>
          <w:numId w:val="6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attributo </w:t>
      </w:r>
      <w:r>
        <w:rPr>
          <w:rtl w:val="0"/>
          <w:lang w:val="it-IT"/>
        </w:rPr>
        <w:t>Dividend</w:t>
      </w:r>
      <w:r>
        <w:rPr>
          <w:rtl w:val="0"/>
          <w:lang w:val="it-IT"/>
        </w:rPr>
        <w:t xml:space="preserve"> differisce nelle varie fonti in quanto il suo calcolo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fatto utilizzando scale differenti (annuale, semestrale, quarto di anno)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5) METRICHE CON DATASET INIZIALE:</w:t>
      </w:r>
    </w:p>
    <w:p>
      <w:pPr>
        <w:pStyle w:val="Normal.0"/>
      </w:pPr>
      <w:r>
        <w:rPr>
          <w:rtl w:val="0"/>
          <w:lang w:val="it-IT"/>
        </w:rPr>
        <w:t>Verranno ora riportate le analisi effettuate sulle metriche individuate in precedenza sul dataset originale, tali metriche sono state misurate normalizzando i dati, cercando di ovviare ai vari problemi di 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sui dati e gestendo i valori mancanti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5.1) COMPLETEZZA:</w:t>
      </w:r>
    </w:p>
    <w:p>
      <w:pPr>
        <w:pStyle w:val="Normal.0"/>
      </w:pPr>
      <w:r>
        <w:rPr>
          <w:rtl w:val="0"/>
          <w:lang w:val="it-IT"/>
        </w:rPr>
        <w:t>I risultati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rilevanti della misurazione di tale dimensione sono stati i seguenti:</w:t>
      </w:r>
    </w:p>
    <w:p>
      <w:pPr>
        <w:pStyle w:val="Normal.0"/>
        <w:numPr>
          <w:ilvl w:val="0"/>
          <w:numId w:val="8"/>
        </w:numPr>
        <w:rPr>
          <w:lang w:val="it-IT"/>
        </w:rPr>
      </w:pPr>
      <w:r>
        <w:rPr>
          <w:rtl w:val="0"/>
          <w:lang w:val="it-IT"/>
        </w:rPr>
        <w:t>Completezza di attributi:</w:t>
      </w:r>
    </w:p>
    <w:p>
      <w:pPr>
        <w:pStyle w:val="Normal.0"/>
        <w:ind w:firstLine="708"/>
      </w:pPr>
      <w:r>
        <w:rPr>
          <w:rtl w:val="0"/>
          <w:lang w:val="it-IT"/>
        </w:rPr>
        <w:t>40% di NULL nella colonna PreviousClose.</w:t>
      </w:r>
    </w:p>
    <w:p>
      <w:pPr>
        <w:pStyle w:val="Normal.0"/>
        <w:ind w:firstLine="708"/>
      </w:pPr>
      <w:r>
        <w:rPr>
          <w:rtl w:val="0"/>
          <w:lang w:val="it-IT"/>
        </w:rPr>
        <w:t>20% di NULL nella colonna NShares.</w:t>
      </w:r>
    </w:p>
    <w:p>
      <w:pPr>
        <w:pStyle w:val="Normal.0"/>
        <w:ind w:firstLine="708"/>
      </w:pPr>
      <w:r>
        <w:rPr>
          <w:rtl w:val="0"/>
          <w:lang w:val="it-IT"/>
        </w:rPr>
        <w:t>5</w:t>
      </w:r>
      <w:r>
        <w:rPr>
          <w:rtl w:val="0"/>
          <w:lang w:val="it-IT"/>
        </w:rPr>
        <w:t>7</w:t>
      </w:r>
      <w:r>
        <w:rPr>
          <w:rtl w:val="0"/>
          <w:lang w:val="it-IT"/>
        </w:rPr>
        <w:t xml:space="preserve">% di NULL nella colonna </w:t>
      </w:r>
      <w:r>
        <w:rPr>
          <w:rtl w:val="0"/>
          <w:lang w:val="it-IT"/>
        </w:rPr>
        <w:t>Dividend</w:t>
      </w:r>
      <w:r>
        <w:rPr>
          <w:rtl w:val="0"/>
          <w:lang w:val="it-IT"/>
        </w:rPr>
        <w:t xml:space="preserve">. </w:t>
      </w:r>
    </w:p>
    <w:p>
      <w:pPr>
        <w:pStyle w:val="Normal.0"/>
        <w:ind w:firstLine="708"/>
      </w:pPr>
      <w:r>
        <w:rPr>
          <w:rtl w:val="0"/>
          <w:lang w:val="it-IT"/>
        </w:rPr>
        <w:t>5</w:t>
      </w:r>
      <w:r>
        <w:rPr>
          <w:rtl w:val="0"/>
          <w:lang w:val="it-IT"/>
        </w:rPr>
        <w:t>8</w:t>
      </w:r>
      <w:r>
        <w:rPr>
          <w:rtl w:val="0"/>
          <w:lang w:val="it-IT"/>
        </w:rPr>
        <w:t xml:space="preserve">% di NULL nella colonna DividendYield. </w:t>
      </w:r>
    </w:p>
    <w:p>
      <w:pPr>
        <w:pStyle w:val="Normal.0"/>
        <w:ind w:firstLine="708"/>
      </w:pPr>
      <w:r>
        <w:rPr>
          <w:rtl w:val="0"/>
          <w:lang w:val="it-IT"/>
        </w:rPr>
        <w:t xml:space="preserve">0.4% di NULL nella colonna EPS.  </w:t>
      </w:r>
    </w:p>
    <w:p>
      <w:pPr>
        <w:pStyle w:val="Normal.0"/>
        <w:numPr>
          <w:ilvl w:val="0"/>
          <w:numId w:val="10"/>
        </w:numPr>
        <w:rPr>
          <w:lang w:val="it-IT"/>
        </w:rPr>
      </w:pPr>
      <w:r>
        <w:rPr>
          <w:rtl w:val="0"/>
          <w:lang w:val="it-IT"/>
        </w:rPr>
        <w:t>Completezza totale:</w:t>
      </w:r>
    </w:p>
    <w:p>
      <w:pPr>
        <w:pStyle w:val="Normal.0"/>
        <w:ind w:firstLine="708"/>
      </w:pPr>
      <w:r>
        <w:rPr>
          <w:rtl w:val="0"/>
          <w:lang w:val="it-IT"/>
        </w:rPr>
        <w:t>10% di NULL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intero dataset.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Tale analisi ha mostrato come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 dataset pur avendo preso in considerazione solo le fonti autorevoli questo siano composte da set di attributi differenti che generano nel dataset valori mancanti, in particolare 2 fonti su 5 non riportano i valori di previous close,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valore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azione al momento della chiusura del mercato il giorno precedente (40% di nulli) e 1 fonte su 5 non riporta invece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attributi Nshares,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il numero di azioni in circolazione per quel titolo (20% di nulli). </w:t>
      </w:r>
    </w:p>
    <w:p>
      <w:pPr>
        <w:pStyle w:val="Normal.0"/>
      </w:pPr>
      <w:r>
        <w:rPr>
          <w:rtl w:val="0"/>
          <w:lang w:val="it-IT"/>
        </w:rPr>
        <w:t xml:space="preserve">Per quanto riguarda invece gli attributi </w:t>
      </w:r>
      <w:r>
        <w:rPr>
          <w:rtl w:val="0"/>
          <w:lang w:val="it-IT"/>
        </w:rPr>
        <w:t>Dividend</w:t>
      </w:r>
      <w:r>
        <w:rPr>
          <w:rtl w:val="0"/>
          <w:lang w:val="it-IT"/>
        </w:rPr>
        <w:t xml:space="preserve"> e Dividend Yield la motivazione dei valori nulli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valida in quanto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obbligatorio per una azienda distribuire dividenti e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tale valore potrebbe risultare mancante, tale fatto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difatti riscontrato per tutte le fonti.</w:t>
      </w:r>
    </w:p>
    <w:p>
      <w:pPr>
        <w:pStyle w:val="Normal.0"/>
      </w:pPr>
      <w:r>
        <w:rPr>
          <w:rtl w:val="0"/>
          <w:lang w:val="it-IT"/>
        </w:rPr>
        <w:t xml:space="preserve">Globalmente il valore di attributi nulli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abbastanza contenuto nonostante siano presenti le problematiche appena descritte.</w:t>
      </w:r>
    </w:p>
    <w:p>
      <w:pPr>
        <w:pStyle w:val="Normal.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analisi di tale dimensione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importante nella misurazione delle altre poich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valori mancanti non possono essere valutati in maniera consistente con dati che invece sono valorizzati, per questo primo approccio 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deciso di non prendere in considerazione i valori che risultano mancanti per non influenzare negativamente la misurazione delle altre metriche.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5.2) RIDONDANZA:</w:t>
      </w:r>
    </w:p>
    <w:p>
      <w:pPr>
        <w:pStyle w:val="Normal.0"/>
      </w:pPr>
      <w:r>
        <w:rPr>
          <w:rtl w:val="0"/>
          <w:lang w:val="it-IT"/>
        </w:rPr>
        <w:t>Come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preventivato nel nostro campo di applicazione siamo di fronte ad una ridondanza molto elevata. </w:t>
      </w:r>
    </w:p>
    <w:p>
      <w:pPr>
        <w:pStyle w:val="Normal.0"/>
      </w:pPr>
      <w:r>
        <w:rPr>
          <w:rtl w:val="0"/>
          <w:lang w:val="it-IT"/>
        </w:rPr>
        <w:t xml:space="preserve">In particolare, avendo preso in considerazione solo le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fonti autorevoli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e solo i titoli presenti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indice Nasdaq tutte le fonti forniscono valori su tutti i titoli, quindi a livello di oggetti abbiamo una ridondanza del 100% (poich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in sostanza ogni titolo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ripetuto per le cinque fonti disponibili) </w:t>
      </w:r>
    </w:p>
    <w:p>
      <w:pPr>
        <w:pStyle w:val="Normal.0"/>
      </w:pPr>
      <w:r>
        <w:rPr>
          <w:rtl w:val="0"/>
          <w:lang w:val="it-IT"/>
        </w:rPr>
        <w:t xml:space="preserve">A livello di attributi invece la ridondanza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minore in quanto le diverse fonti forniscono set di attributi diversi (vedi dimensione completezza).</w:t>
      </w:r>
    </w:p>
    <w:p>
      <w:pPr>
        <w:pStyle w:val="Normal.0"/>
      </w:pPr>
      <w:r>
        <w:rPr>
          <w:rtl w:val="0"/>
          <w:lang w:val="it-IT"/>
        </w:rPr>
        <w:t>In generale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nel nostro contesto siamo in presenza di una ridondanza generale molto alta, data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dal dominio stesso di tale analisi e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tenuta correttamente in considerazione durante la realizzazione del progetto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5.3) CONSISTENZA:</w:t>
      </w:r>
    </w:p>
    <w:p>
      <w:pPr>
        <w:pStyle w:val="Normal.0"/>
      </w:pPr>
      <w:r>
        <w:rPr>
          <w:rtl w:val="0"/>
          <w:lang w:val="it-IT"/>
        </w:rPr>
        <w:t>Queste sono state le principali modalit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con le quali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valutata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inconsistenza nei dati:</w:t>
      </w:r>
    </w:p>
    <w:p>
      <w:pPr>
        <w:pStyle w:val="Normal.0"/>
      </w:pPr>
      <w:r>
        <w:rPr>
          <w:rtl w:val="0"/>
          <w:lang w:val="it-IT"/>
        </w:rPr>
        <w:t>Prima attraverso delle analisi banali come controllare se i valori fossero maggiori di zero, in seguito sono state poi effettuate analisi di consistenza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complesse: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HighPrice &lt; LowPrice (0%)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HighPrice &lt; OpenPrice &amp;&amp; HighPrice &lt; ClosePrice (0%)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LowPrice &gt; OpenPrice &amp;&amp; LowPrice &gt; ClosePrice (0%)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YearHigh &lt; YearLow (0%)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PreviousClose &gt; YearHigh &amp;&amp; PreviousClose &lt; YearLow (0%)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ChangeInDollars != ClosePrice - PreviousClose (58,4%)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ChangePerc != (ChangeInDollars/PreviousClose) * 100 (59,4%)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DividendYield != (Dividend/PreviousClose) * 100 (24,6%)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MarketCap != NShares * ClosePrice  (64,4%)</w:t>
      </w:r>
    </w:p>
    <w:p>
      <w:pPr>
        <w:pStyle w:val="Normal.0"/>
      </w:pPr>
      <w:r>
        <w:rPr>
          <w:rtl w:val="0"/>
          <w:lang w:val="it-IT"/>
        </w:rPr>
        <w:t>Sono state riportate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indicazione in parentesi della percentuale di dati che non soddisfa ognuno ti tali criteri di consistenza</w:t>
      </w:r>
    </w:p>
    <w:p>
      <w:pPr>
        <w:pStyle w:val="Normal.0"/>
      </w:pPr>
      <w:r>
        <w:rPr>
          <w:rtl w:val="0"/>
          <w:lang w:val="it-IT"/>
        </w:rPr>
        <w:t>Le inconsistenze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elevate sono state riscontrate per gli ultimi tre criteri.</w:t>
      </w:r>
    </w:p>
    <w:p>
      <w:pPr>
        <w:pStyle w:val="Normal.0"/>
      </w:pPr>
      <w:r>
        <w:rPr>
          <w:rtl w:val="0"/>
          <w:lang w:val="it-IT"/>
        </w:rPr>
        <w:t>La prima riguarda il valore assunto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attributo ChangeInDollars che nel 58,4% dei casi non rispetta la sua semantica,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 essere la differenza tra il prezzo del titolo in chiusura di mercato meno il valore al momento della chiusura del mercato il giorno precedente.</w:t>
      </w:r>
    </w:p>
    <w:p>
      <w:pPr>
        <w:pStyle w:val="Normal.0"/>
      </w:pPr>
      <w:r>
        <w:rPr>
          <w:rtl w:val="0"/>
          <w:lang w:val="it-IT"/>
        </w:rPr>
        <w:t xml:space="preserve">La seconda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legata alla prima in quanto indica la percentuale di cambiamento di prezzo al momento della chiusura di mercato del giorno odierno con quello precedente, in questo caso il 59,4% dei dati non rispetta tale vincolo</w:t>
      </w:r>
    </w:p>
    <w:p>
      <w:pPr>
        <w:pStyle w:val="Normal.0"/>
      </w:pPr>
      <w:r>
        <w:rPr>
          <w:rtl w:val="0"/>
          <w:lang w:val="it-IT"/>
        </w:rPr>
        <w:t>Il terzo vincolo invece riguarda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attributo MarketCap che dovrebbe corrispondere al numero di azioni presenti sul mercato (Nshares) per il valore del titolo (ClosePrice), il 64,4% dei dati non rispetta tale vincolo</w:t>
      </w:r>
    </w:p>
    <w:p>
      <w:pPr>
        <w:pStyle w:val="Normal.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notata inoltre anche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inconsistenza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attributi di PreviousClose che in molti casi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uguale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OpenPrice, 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riportato sottoforma di warning in quanto, come detto in precedenza,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che non sia un errore in quanto sono ammesse anche transazioni a mercato chiuso che non fanno coincidere i due valori.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5.4) PRECISIONE:</w:t>
      </w:r>
    </w:p>
    <w:p>
      <w:pPr>
        <w:pStyle w:val="Normal.0"/>
      </w:pPr>
      <w:r>
        <w:rPr>
          <w:rtl w:val="0"/>
          <w:lang w:val="it-IT"/>
        </w:rPr>
        <w:t xml:space="preserve">Questa dimensione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stata misurata secondo due visioni, una controllando la precisione per ogni attributo mentre la seconda valutando come si comportano le diverse fonti; in entrambi casi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utilizzato come metro di paragone uno standard di dati ottenuti di Nasdaq.com</w:t>
      </w:r>
    </w:p>
    <w:p>
      <w:pPr>
        <w:pStyle w:val="Normal.0"/>
        <w:rPr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it-IT"/>
        </w:rPr>
        <w:t>Risultati misurazione precisione sugli attributi</w:t>
      </w:r>
      <w:r>
        <w:rPr>
          <w:sz w:val="24"/>
          <w:szCs w:val="24"/>
          <w:rtl w:val="0"/>
          <w:lang w:val="it-IT"/>
        </w:rPr>
        <w:t xml:space="preserve">: </w:t>
      </w:r>
    </w:p>
    <w:p>
      <w:pPr>
        <w:pStyle w:val="Normal.0"/>
        <w:tabs>
          <w:tab w:val="left" w:pos="720"/>
        </w:tabs>
        <w:rPr>
          <w:sz w:val="24"/>
          <w:szCs w:val="24"/>
        </w:rPr>
        <w:sectPr>
          <w:headerReference w:type="default" r:id="rId4"/>
          <w:footerReference w:type="default" r:id="rId5"/>
          <w:pgSz w:w="11900" w:h="16840" w:orient="portrait"/>
          <w:pgMar w:top="1417" w:right="1134" w:bottom="1134" w:left="1134" w:header="708" w:footer="708"/>
          <w:bidi w:val="0"/>
        </w:sectPr>
      </w:pPr>
      <w:r>
        <w:rPr>
          <w:sz w:val="24"/>
          <w:szCs w:val="24"/>
        </w:rPr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ClosePrice: 95,4%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OpenPrice: 81%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ChangePrec: 78.4%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ChangeInDollars: 79.6%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Volume: 38.6%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HighPrice: 94.6%</w:t>
      </w:r>
    </w:p>
    <w:p>
      <w:pPr>
        <w:pStyle w:val="List Paragraph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LowPrice: 95.2%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PreviousClose: 58,8% *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YearHigh: 86%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YearLow: 94%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NShares: 20%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PE:34,2%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MarketCap: 20%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Dividend</w:t>
      </w:r>
      <w:r>
        <w:rPr>
          <w:rtl w:val="0"/>
          <w:lang w:val="it-IT"/>
        </w:rPr>
        <w:t>: 64</w:t>
      </w:r>
      <w:r>
        <w:rPr>
          <w:rtl w:val="0"/>
          <w:lang w:val="it-IT"/>
        </w:rPr>
        <w:t>,4</w:t>
      </w:r>
      <w:r>
        <w:rPr>
          <w:rtl w:val="0"/>
          <w:lang w:val="it-IT"/>
        </w:rPr>
        <w:t>% *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DividendYield: 64% *</w:t>
      </w:r>
    </w:p>
    <w:p>
      <w:pPr>
        <w:pStyle w:val="Normal.0"/>
        <w:numPr>
          <w:ilvl w:val="0"/>
          <w:numId w:val="14"/>
        </w:numPr>
        <w:rPr>
          <w:lang w:val="it-IT"/>
        </w:rPr>
      </w:pPr>
      <w:r>
        <w:rPr>
          <w:rtl w:val="0"/>
          <w:lang w:val="it-IT"/>
        </w:rPr>
        <w:t>EPS: 20,2</w:t>
      </w:r>
    </w:p>
    <w:p>
      <w:pPr>
        <w:pStyle w:val="Normal.0"/>
        <w:sectPr>
          <w:type w:val="continuous"/>
          <w:pgSz w:w="11900" w:h="16840" w:orient="portrait"/>
          <w:pgMar w:top="1417" w:right="1134" w:bottom="1134" w:left="1134" w:header="708" w:footer="708"/>
          <w:cols w:space="708" w:num="2" w:equalWidth="1"/>
          <w:bidi w:val="0"/>
        </w:sectPr>
      </w:pPr>
      <w:r/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Per quanto riguarda la precisione sugli attributi ci sono diverse ragioni per spiegare gli attributi con bassa precisione:</w:t>
      </w:r>
    </w:p>
    <w:p>
      <w:pPr>
        <w:pStyle w:val="Normal.0"/>
        <w:numPr>
          <w:ilvl w:val="0"/>
          <w:numId w:val="16"/>
        </w:numPr>
        <w:rPr>
          <w:lang w:val="it-IT"/>
        </w:rPr>
      </w:pPr>
      <w:r>
        <w:rPr>
          <w:u w:val="single"/>
          <w:rtl w:val="0"/>
          <w:lang w:val="it-IT"/>
        </w:rPr>
        <w:t>Eterogeneit</w:t>
      </w:r>
      <w:r>
        <w:rPr>
          <w:u w:val="single"/>
          <w:rtl w:val="0"/>
          <w:lang w:val="it-IT"/>
        </w:rPr>
        <w:t xml:space="preserve">à </w:t>
      </w:r>
      <w:r>
        <w:rPr>
          <w:u w:val="single"/>
          <w:rtl w:val="0"/>
          <w:lang w:val="it-IT"/>
        </w:rPr>
        <w:t>semantica</w:t>
      </w:r>
      <w:r>
        <w:rPr>
          <w:rtl w:val="0"/>
          <w:lang w:val="it-IT"/>
        </w:rPr>
        <w:t xml:space="preserve">: nella maggioranza casi la bassa precisione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dovuta ad una diversa semantica di rappresentazione rispetto alla groundtruth, soprattutto nel caso di attributi con decimali (diverso arrotondamento e formato) (es. Nshares, MarketCap, PE, EPS)</w:t>
      </w:r>
    </w:p>
    <w:p>
      <w:pPr>
        <w:pStyle w:val="Normal.0"/>
        <w:numPr>
          <w:ilvl w:val="0"/>
          <w:numId w:val="16"/>
        </w:numPr>
        <w:rPr>
          <w:lang w:val="it-IT"/>
        </w:rPr>
      </w:pPr>
      <w:r>
        <w:rPr>
          <w:u w:val="single"/>
          <w:rtl w:val="0"/>
          <w:lang w:val="it-IT"/>
        </w:rPr>
        <w:t>Errori nelle unit</w:t>
      </w:r>
      <w:r>
        <w:rPr>
          <w:u w:val="single"/>
          <w:rtl w:val="0"/>
          <w:lang w:val="it-IT"/>
        </w:rPr>
        <w:t xml:space="preserve">à </w:t>
      </w:r>
      <w:r>
        <w:rPr>
          <w:u w:val="single"/>
          <w:rtl w:val="0"/>
          <w:lang w:val="it-IT"/>
        </w:rPr>
        <w:t>di misura</w:t>
      </w:r>
      <w:r>
        <w:rPr>
          <w:rtl w:val="0"/>
          <w:lang w:val="it-IT"/>
        </w:rPr>
        <w:t>: sono presenti alcuni errori di unit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misura, per esempio la maggior parte delle fonti riporta 20M mentre una fonte riporta 20B   </w:t>
      </w:r>
    </w:p>
    <w:p>
      <w:pPr>
        <w:pStyle w:val="Normal.0"/>
        <w:numPr>
          <w:ilvl w:val="0"/>
          <w:numId w:val="16"/>
        </w:numPr>
        <w:rPr>
          <w:lang w:val="it-IT"/>
        </w:rPr>
      </w:pPr>
      <w:r>
        <w:rPr>
          <w:u w:val="single"/>
          <w:rtl w:val="0"/>
          <w:lang w:val="it-IT"/>
        </w:rPr>
        <w:t>Errori nei dati</w:t>
      </w:r>
      <w:r>
        <w:rPr>
          <w:rtl w:val="0"/>
          <w:lang w:val="it-IT"/>
        </w:rPr>
        <w:t xml:space="preserve">: In alcuni casi sono stati riscontrati dei puri errori nei valori dei dati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it-IT"/>
        </w:rPr>
        <w:t>Risultati misurazione precisione sulle fonti:</w:t>
      </w:r>
    </w:p>
    <w:p>
      <w:pPr>
        <w:pStyle w:val="Normal.0"/>
        <w:numPr>
          <w:ilvl w:val="0"/>
          <w:numId w:val="18"/>
        </w:numPr>
        <w:rPr>
          <w:lang w:val="it-IT"/>
        </w:rPr>
      </w:pPr>
      <w:r>
        <w:rPr>
          <w:rtl w:val="0"/>
          <w:lang w:val="it-IT"/>
        </w:rPr>
        <w:t>bloomberg: 87%</w:t>
      </w:r>
    </w:p>
    <w:p>
      <w:pPr>
        <w:pStyle w:val="Normal.0"/>
        <w:numPr>
          <w:ilvl w:val="0"/>
          <w:numId w:val="18"/>
        </w:numPr>
        <w:rPr>
          <w:lang w:val="it-IT"/>
        </w:rPr>
      </w:pPr>
      <w:r>
        <w:rPr>
          <w:rtl w:val="0"/>
          <w:lang w:val="it-IT"/>
        </w:rPr>
        <w:t>google finance: 76%</w:t>
      </w:r>
    </w:p>
    <w:p>
      <w:pPr>
        <w:pStyle w:val="Normal.0"/>
        <w:numPr>
          <w:ilvl w:val="0"/>
          <w:numId w:val="18"/>
        </w:numPr>
        <w:rPr>
          <w:lang w:val="it-IT"/>
        </w:rPr>
      </w:pPr>
      <w:r>
        <w:rPr>
          <w:rtl w:val="0"/>
          <w:lang w:val="it-IT"/>
        </w:rPr>
        <w:t>msn-money: 77%</w:t>
      </w:r>
    </w:p>
    <w:p>
      <w:pPr>
        <w:pStyle w:val="Normal.0"/>
        <w:numPr>
          <w:ilvl w:val="0"/>
          <w:numId w:val="18"/>
        </w:numPr>
        <w:rPr>
          <w:lang w:val="it-IT"/>
        </w:rPr>
      </w:pPr>
      <w:r>
        <w:rPr>
          <w:rtl w:val="0"/>
          <w:lang w:val="it-IT"/>
        </w:rPr>
        <w:t>nasdaq: 99% *</w:t>
      </w:r>
    </w:p>
    <w:p>
      <w:pPr>
        <w:pStyle w:val="Normal.0"/>
        <w:numPr>
          <w:ilvl w:val="0"/>
          <w:numId w:val="18"/>
        </w:numPr>
        <w:rPr>
          <w:lang w:val="it-IT"/>
        </w:rPr>
      </w:pPr>
      <w:r>
        <w:rPr>
          <w:rtl w:val="0"/>
          <w:lang w:val="it-IT"/>
        </w:rPr>
        <w:t>yahoo finance: 23% **</w:t>
      </w:r>
    </w:p>
    <w:p>
      <w:pPr>
        <w:pStyle w:val="Normal.0"/>
      </w:pPr>
      <w:r>
        <w:rPr>
          <w:rtl w:val="0"/>
          <w:lang w:val="it-IT"/>
        </w:rPr>
        <w:t xml:space="preserve">* Tale valore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giustamente elevato poich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la groundtruth considera dati presi da Nasdaq.com</w:t>
      </w:r>
    </w:p>
    <w:p>
      <w:pPr>
        <w:pStyle w:val="Normal.0"/>
      </w:pPr>
      <w:r>
        <w:rPr>
          <w:rtl w:val="0"/>
          <w:lang w:val="it-IT"/>
        </w:rPr>
        <w:t>**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nel calcolare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attributo che descrive il prezzo di apertura che nella maggioranza dei casi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diverso dalle altre fonti, togliendo quell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attributo la precisione sarebbe del 69% 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Sono state calcolate le precisioni rispetto ai quattro attributi fondamentali (OpenPrice, ClosePrice, HighPrice e LowPrice) in quanto le fonti non condividono lo stesso set di attributi.</w:t>
      </w:r>
    </w:p>
    <w:p>
      <w:pPr>
        <w:pStyle w:val="Normal.0"/>
      </w:pPr>
      <w:r>
        <w:rPr>
          <w:rtl w:val="0"/>
          <w:lang w:val="it-IT"/>
        </w:rPr>
        <w:t>In generale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notare come (oltre a nasdaq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preso come groundtruth) la fonte con precisione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alta sia Bloomberg ed al contrario la fonte con precisione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bassa sia Yahoo che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riscontra un problema di 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su un attributo.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6) MIGLIORAMENTO DIMENSIONI:</w:t>
      </w:r>
    </w:p>
    <w:p>
      <w:pPr>
        <w:pStyle w:val="Normal.0"/>
      </w:pPr>
      <w:r>
        <w:rPr>
          <w:rtl w:val="0"/>
          <w:lang w:val="it-IT"/>
        </w:rPr>
        <w:t>Dopo aver ottenuto una misurazione delle dimensioni utilizzando il dataset originale sono state applicate delle modifiche al dataset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obiettivo di migliorare tali misurazioni,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utilizzata una strategia data-driven, andando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 modificare direttamente i dati e non i processi con i quali i dati sono ottenuti.</w:t>
      </w:r>
    </w:p>
    <w:p>
      <w:pPr>
        <w:pStyle w:val="Normal.0"/>
      </w:pPr>
      <w:r>
        <w:rPr>
          <w:rtl w:val="0"/>
          <w:lang w:val="it-IT"/>
        </w:rPr>
        <w:t xml:space="preserve">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ricavato un nuovo dataset da quello di partenza, applicando delle tecniche di pulizia dei dati, come ad esempio assegnare il valore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frequente tra le varie fonti per i campi nulli. In seguito sono state rimosse le stringhe presenti tra i valori numerici ($,m,mil,b,bil).</w:t>
      </w:r>
    </w:p>
    <w:p>
      <w:pPr>
        <w:pStyle w:val="Normal.0"/>
      </w:pPr>
      <w:r>
        <w:rPr>
          <w:rtl w:val="0"/>
          <w:lang w:val="it-IT"/>
        </w:rPr>
        <w:t>I risultati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rilevanti sono i seguenti:</w:t>
      </w:r>
    </w:p>
    <w:p>
      <w:pPr>
        <w:pStyle w:val="Normal.0"/>
        <w:numPr>
          <w:ilvl w:val="0"/>
          <w:numId w:val="20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incompletezza delle colonne PreviousClose e NShares ha cos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>raggiunto lo 0%. In generale il dataset ha avuto un miglioramento arrivando al 5% di dati mancanti (partendo dal 10%).</w:t>
      </w:r>
    </w:p>
    <w:p>
      <w:pPr>
        <w:pStyle w:val="Normal.0"/>
        <w:numPr>
          <w:ilvl w:val="0"/>
          <w:numId w:val="20"/>
        </w:numPr>
        <w:rPr>
          <w:lang w:val="it-IT"/>
        </w:rPr>
      </w:pPr>
      <w:r>
        <w:rPr>
          <w:rtl w:val="0"/>
          <w:lang w:val="it-IT"/>
        </w:rPr>
        <w:t>Il miglioramento nella precisione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rilevante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avvenuto del PreviousClose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passata dal 58% al 97,6%. Anche la precisione di NShares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aumentata fino al 52%. </w:t>
      </w:r>
    </w:p>
    <w:p>
      <w:pPr>
        <w:pStyle w:val="Normal.0"/>
        <w:numPr>
          <w:ilvl w:val="0"/>
          <w:numId w:val="20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inconsistenza di ChangeInDollars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diminuita fino al 45%, cos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 xml:space="preserve">come ChangePerc. Anche il valore di inconsistenza di MarketCap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diminuito molto (38%).</w:t>
      </w:r>
    </w:p>
    <w:p>
      <w:pPr>
        <w:pStyle w:val="Normal.0"/>
        <w:numPr>
          <w:ilvl w:val="0"/>
          <w:numId w:val="20"/>
        </w:numPr>
        <w:rPr>
          <w:lang w:val="it-IT"/>
        </w:rPr>
      </w:pPr>
      <w:r>
        <w:rPr>
          <w:rtl w:val="0"/>
          <w:lang w:val="it-IT"/>
        </w:rPr>
        <w:t xml:space="preserve">I casi particolari PE &lt; 0 hanno raggiunto lo 0,2%, invece quelli di PreviousClose != OpenClose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decresciuto fino al 42,2%.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7) CONCLUSIONI:</w:t>
      </w:r>
    </w:p>
    <w:p>
      <w:pPr>
        <w:pStyle w:val="Normal.0"/>
        <w:numPr>
          <w:ilvl w:val="0"/>
          <w:numId w:val="22"/>
        </w:numPr>
        <w:rPr>
          <w:lang w:val="it-IT"/>
        </w:rPr>
      </w:pPr>
      <w:r>
        <w:rPr>
          <w:rtl w:val="0"/>
          <w:lang w:val="it-IT"/>
        </w:rPr>
        <w:t>Le tecniche utilizzate per migliorare le dimensioni hanno apportato un miglioramento visibile dalla misurazione di tali dimensioni prima e dopo la modifica del dataset</w:t>
      </w:r>
    </w:p>
    <w:p>
      <w:pPr>
        <w:pStyle w:val="List Paragraph"/>
        <w:numPr>
          <w:ilvl w:val="0"/>
          <w:numId w:val="22"/>
        </w:numPr>
        <w:rPr>
          <w:lang w:val="it-IT"/>
        </w:rPr>
      </w:pPr>
      <w:r>
        <w:rPr>
          <w:rtl w:val="0"/>
          <w:lang w:val="it-IT"/>
        </w:rPr>
        <w:t>I risultati della valutazione delle varie dimensioni di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dati hanno mostrato un insieme non indifferente di aspetti importanti, tra cui: presenza di dati mancanti, che sono stati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parzialmente gestiti modificando il dataset; la gestione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semantica dei dati che porta ad una diminuzione delle performance  (nonostante normalizzazione e gestione valori nulli), anche questo aspetto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migliorato se pur in maniera parziale andando a modificare il dataset; una precisione globale sulle fonti non da disprezzare, questa per</w:t>
      </w:r>
      <w:r>
        <w:rPr>
          <w:rtl w:val="0"/>
          <w:lang w:val="it-IT"/>
        </w:rPr>
        <w:t xml:space="preserve">ò è </w:t>
      </w:r>
      <w:r>
        <w:rPr>
          <w:rtl w:val="0"/>
          <w:lang w:val="it-IT"/>
        </w:rPr>
        <w:t>ancora una volta peggiorata dai problemi di 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 mancanza dei valori che ne peggiorano le performance per alcuni attributi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8) SVILUPPI FUTURI:</w:t>
      </w:r>
    </w:p>
    <w:p>
      <w:pPr>
        <w:pStyle w:val="List Paragraph"/>
        <w:numPr>
          <w:ilvl w:val="0"/>
          <w:numId w:val="24"/>
        </w:numPr>
        <w:rPr>
          <w:lang w:val="it-IT"/>
        </w:rPr>
      </w:pPr>
      <w:r>
        <w:rPr>
          <w:rtl w:val="0"/>
          <w:lang w:val="it-IT"/>
        </w:rPr>
        <w:t>Migliorare la fase iniziale di normalizzazione dei dati al fine di evitare errori dovuti ad una solo eterogeneit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semantica</w:t>
      </w:r>
    </w:p>
    <w:p>
      <w:pPr>
        <w:pStyle w:val="List Paragraph"/>
        <w:numPr>
          <w:ilvl w:val="0"/>
          <w:numId w:val="24"/>
        </w:numPr>
        <w:rPr>
          <w:lang w:val="it-IT"/>
        </w:rPr>
      </w:pPr>
      <w:r>
        <w:rPr>
          <w:rtl w:val="0"/>
          <w:lang w:val="it-IT"/>
        </w:rPr>
        <w:t>Migliorare le tecniche data-driven di pulizia dei dati al fine di migliorare ulteriormente la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degli stessi</w:t>
      </w:r>
    </w:p>
    <w:p>
      <w:pPr>
        <w:pStyle w:val="List Paragraph"/>
        <w:numPr>
          <w:ilvl w:val="0"/>
          <w:numId w:val="24"/>
        </w:numPr>
        <w:rPr>
          <w:lang w:val="it-IT"/>
        </w:rPr>
      </w:pPr>
      <w:r>
        <w:rPr>
          <w:rtl w:val="0"/>
          <w:lang w:val="it-IT"/>
        </w:rPr>
        <w:t>Attuare altri tipi di approccio (process-driven) al fine di migliorare la qualit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dati</w:t>
      </w:r>
    </w:p>
    <w:sectPr>
      <w:type w:val="continuous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ile importato 7"/>
  </w:abstractNum>
  <w:abstractNum w:abstractNumId="13">
    <w:multiLevelType w:val="hybridMultilevel"/>
    <w:styleLink w:val="Stile importato 7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ile importato 8"/>
  </w:abstractNum>
  <w:abstractNum w:abstractNumId="15">
    <w:multiLevelType w:val="hybridMultilevel"/>
    <w:styleLink w:val="Stile importato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ile importato 9"/>
  </w:abstractNum>
  <w:abstractNum w:abstractNumId="17">
    <w:multiLevelType w:val="hybridMultilevel"/>
    <w:styleLink w:val="Stile importato 9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ile importato 10"/>
  </w:abstractNum>
  <w:abstractNum w:abstractNumId="19">
    <w:multiLevelType w:val="hybridMultilevel"/>
    <w:styleLink w:val="Stile importato 10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ile importato 11"/>
  </w:abstractNum>
  <w:abstractNum w:abstractNumId="21">
    <w:multiLevelType w:val="hybridMultilevel"/>
    <w:styleLink w:val="Stile importato 11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ile importato 12"/>
  </w:abstractNum>
  <w:abstractNum w:abstractNumId="23">
    <w:multiLevelType w:val="hybridMultilevel"/>
    <w:styleLink w:val="Stile importato 12"/>
    <w:lvl w:ilvl="0">
      <w:start w:val="1"/>
      <w:numFmt w:val="bullet"/>
      <w:suff w:val="tab"/>
      <w:lvlText w:val="▸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numbering" w:styleId="Stile importato 5">
    <w:name w:val="Stile importato 5"/>
    <w:pPr>
      <w:numPr>
        <w:numId w:val="9"/>
      </w:numPr>
    </w:pPr>
  </w:style>
  <w:style w:type="numbering" w:styleId="Stile importato 6">
    <w:name w:val="Stile importato 6"/>
    <w:pPr>
      <w:numPr>
        <w:numId w:val="11"/>
      </w:numPr>
    </w:pPr>
  </w:style>
  <w:style w:type="numbering" w:styleId="Stile importato 7">
    <w:name w:val="Stile importato 7"/>
    <w:pPr>
      <w:numPr>
        <w:numId w:val="13"/>
      </w:numPr>
    </w:pPr>
  </w:style>
  <w:style w:type="numbering" w:styleId="Stile importato 8">
    <w:name w:val="Stile importato 8"/>
    <w:pPr>
      <w:numPr>
        <w:numId w:val="15"/>
      </w:numPr>
    </w:pPr>
  </w:style>
  <w:style w:type="numbering" w:styleId="Stile importato 9">
    <w:name w:val="Stile importato 9"/>
    <w:pPr>
      <w:numPr>
        <w:numId w:val="17"/>
      </w:numPr>
    </w:pPr>
  </w:style>
  <w:style w:type="numbering" w:styleId="Stile importato 10">
    <w:name w:val="Stile importato 10"/>
    <w:pPr>
      <w:numPr>
        <w:numId w:val="19"/>
      </w:numPr>
    </w:pPr>
  </w:style>
  <w:style w:type="numbering" w:styleId="Stile importato 11">
    <w:name w:val="Stile importato 11"/>
    <w:pPr>
      <w:numPr>
        <w:numId w:val="21"/>
      </w:numPr>
    </w:pPr>
  </w:style>
  <w:style w:type="numbering" w:styleId="Stile importato 12">
    <w:name w:val="Stile importato 12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