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B606" w14:textId="77777777" w:rsidR="008B794C" w:rsidRDefault="008B794C" w:rsidP="008B794C">
      <w:pPr>
        <w:jc w:val="center"/>
      </w:pPr>
    </w:p>
    <w:p w14:paraId="307EE78B" w14:textId="77777777" w:rsidR="008B794C" w:rsidRDefault="008B794C" w:rsidP="008B794C">
      <w:pPr>
        <w:jc w:val="center"/>
      </w:pPr>
    </w:p>
    <w:p w14:paraId="10616C0F" w14:textId="77777777" w:rsidR="008B794C" w:rsidRDefault="008B794C" w:rsidP="008B794C">
      <w:pPr>
        <w:jc w:val="center"/>
      </w:pPr>
    </w:p>
    <w:p w14:paraId="0E5E0108" w14:textId="047B3C44" w:rsidR="00596E1E" w:rsidRDefault="008B794C" w:rsidP="008B794C">
      <w:pPr>
        <w:jc w:val="center"/>
      </w:pPr>
      <w:r>
        <w:rPr>
          <w:noProof/>
        </w:rPr>
        <w:drawing>
          <wp:inline distT="0" distB="0" distL="0" distR="0" wp14:anchorId="2BBFA1B5" wp14:editId="44535B51">
            <wp:extent cx="1978660" cy="1978660"/>
            <wp:effectExtent l="0" t="0" r="2540" b="2540"/>
            <wp:docPr id="1" name="Imagen 1" descr="Resultado de imagen de logo cun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une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660" cy="1978660"/>
                    </a:xfrm>
                    <a:prstGeom prst="rect">
                      <a:avLst/>
                    </a:prstGeom>
                    <a:noFill/>
                    <a:ln>
                      <a:noFill/>
                    </a:ln>
                  </pic:spPr>
                </pic:pic>
              </a:graphicData>
            </a:graphic>
          </wp:inline>
        </w:drawing>
      </w:r>
    </w:p>
    <w:p w14:paraId="06C3B4C1" w14:textId="1CF9FE7F" w:rsidR="008B794C" w:rsidRDefault="008B794C" w:rsidP="008B794C"/>
    <w:p w14:paraId="3DA51252" w14:textId="65DA6ECF" w:rsidR="008B794C" w:rsidRDefault="007604B3" w:rsidP="008B794C">
      <w:pPr>
        <w:pStyle w:val="Ttulo"/>
      </w:pPr>
      <w:r>
        <w:t>SEGUROS DE VIDA</w:t>
      </w:r>
    </w:p>
    <w:p w14:paraId="533345E7" w14:textId="77777777" w:rsidR="008B794C" w:rsidRPr="008B794C" w:rsidRDefault="008B794C" w:rsidP="008B794C"/>
    <w:p w14:paraId="7056B6AA" w14:textId="19C4B573" w:rsidR="008B794C" w:rsidRDefault="007604B3" w:rsidP="00F76F25">
      <w:pPr>
        <w:pStyle w:val="Ttulo2"/>
        <w:jc w:val="center"/>
      </w:pPr>
      <w:r>
        <w:t>TÉCNICAS DE CLASIFICACIÓN</w:t>
      </w:r>
    </w:p>
    <w:p w14:paraId="3A12BF5D" w14:textId="7C442EF2" w:rsidR="008B794C" w:rsidRPr="008B794C" w:rsidRDefault="008B794C" w:rsidP="008B794C"/>
    <w:p w14:paraId="5EC9E3C9" w14:textId="02348930" w:rsidR="008B794C" w:rsidRPr="008B794C" w:rsidRDefault="008B794C" w:rsidP="008B794C"/>
    <w:p w14:paraId="347FB0E2" w14:textId="21B19BA8" w:rsidR="008B794C" w:rsidRPr="008B794C" w:rsidRDefault="008B794C" w:rsidP="008B794C"/>
    <w:p w14:paraId="35AD4670" w14:textId="5373F853" w:rsidR="008B794C" w:rsidRPr="008B794C" w:rsidRDefault="008B794C" w:rsidP="008B794C"/>
    <w:p w14:paraId="230A667D" w14:textId="610A972F" w:rsidR="008B794C" w:rsidRPr="008B794C" w:rsidRDefault="008B794C" w:rsidP="008B794C"/>
    <w:p w14:paraId="6E56D4BE" w14:textId="142C61BB" w:rsidR="008B794C" w:rsidRPr="008B794C" w:rsidRDefault="008B794C" w:rsidP="008B794C"/>
    <w:p w14:paraId="05ADFB35" w14:textId="7E8AE389" w:rsidR="008B794C" w:rsidRPr="008B794C" w:rsidRDefault="008B794C" w:rsidP="008B794C"/>
    <w:p w14:paraId="31480352" w14:textId="32B420B4" w:rsidR="008B794C" w:rsidRPr="008B794C" w:rsidRDefault="008B794C" w:rsidP="008B794C"/>
    <w:p w14:paraId="435770E8" w14:textId="0C93541E" w:rsidR="008B794C" w:rsidRDefault="008B794C" w:rsidP="008B794C"/>
    <w:p w14:paraId="0B0EC297" w14:textId="76A8DC86" w:rsidR="008B794C" w:rsidRDefault="008B794C" w:rsidP="008B794C">
      <w:pPr>
        <w:pStyle w:val="Ttulo1"/>
        <w:jc w:val="center"/>
      </w:pPr>
    </w:p>
    <w:p w14:paraId="4720F438" w14:textId="5645E5C7" w:rsidR="008B794C" w:rsidRDefault="008B794C" w:rsidP="008B794C"/>
    <w:p w14:paraId="528CF08A" w14:textId="03F4B188" w:rsidR="008B794C" w:rsidRDefault="008B794C" w:rsidP="008B794C"/>
    <w:p w14:paraId="5D4B6840" w14:textId="30EB41C8" w:rsidR="008B794C" w:rsidRDefault="008B794C" w:rsidP="008B794C"/>
    <w:p w14:paraId="4C476A06" w14:textId="697AB056" w:rsidR="008B794C" w:rsidRDefault="008B794C" w:rsidP="008B794C">
      <w:pPr>
        <w:pStyle w:val="Ttulo1"/>
        <w:jc w:val="center"/>
      </w:pPr>
      <w:r>
        <w:t>Beltrán Aller López</w:t>
      </w:r>
    </w:p>
    <w:p w14:paraId="1ABFC639" w14:textId="244433DE" w:rsidR="008B794C" w:rsidRDefault="007604B3" w:rsidP="008B794C">
      <w:pPr>
        <w:pStyle w:val="Ttulo2"/>
        <w:jc w:val="center"/>
      </w:pPr>
      <w:r>
        <w:t>24/11/2019</w:t>
      </w:r>
    </w:p>
    <w:p w14:paraId="0C26C3E6" w14:textId="766E388B" w:rsidR="00C82575" w:rsidRDefault="000B3FF2" w:rsidP="000B3FF2">
      <w:pPr>
        <w:tabs>
          <w:tab w:val="left" w:pos="3792"/>
        </w:tabs>
        <w:jc w:val="left"/>
      </w:pPr>
      <w:r>
        <w:tab/>
      </w:r>
    </w:p>
    <w:p w14:paraId="578A740B" w14:textId="77777777" w:rsidR="000B3FF2" w:rsidRDefault="000B3FF2" w:rsidP="000B3FF2">
      <w:pPr>
        <w:tabs>
          <w:tab w:val="left" w:pos="3792"/>
        </w:tabs>
        <w:jc w:val="left"/>
        <w:sectPr w:rsidR="000B3FF2" w:rsidSect="00806588">
          <w:footerReference w:type="default" r:id="rId8"/>
          <w:pgSz w:w="11906" w:h="16838"/>
          <w:pgMar w:top="1417" w:right="1701" w:bottom="1417" w:left="1701" w:header="708" w:footer="708" w:gutter="0"/>
          <w:cols w:space="708"/>
          <w:titlePg/>
          <w:docGrid w:linePitch="360"/>
        </w:sectPr>
      </w:pPr>
    </w:p>
    <w:p w14:paraId="52D9B3F5" w14:textId="35ACDD62" w:rsidR="001861A5" w:rsidRDefault="001861A5" w:rsidP="006E6F3B">
      <w:pPr>
        <w:pStyle w:val="Ttulo1"/>
      </w:pPr>
      <w:r>
        <w:lastRenderedPageBreak/>
        <w:t>CONCLUSIONES</w:t>
      </w:r>
    </w:p>
    <w:p w14:paraId="43B5BFA2" w14:textId="43B89FB0" w:rsidR="001861A5" w:rsidRDefault="001861A5" w:rsidP="001861A5">
      <w:r>
        <w:t>A raíz de los resultados obtenidos, se comprueba la existencia de ciertas variables de gran relevancia a la hora de prever si un hogar es poseedor de un seguro de salud privado. El número de hijos menores de 14 años, así como los ingresos del sustentador principal y, los ingresos en general del hogar; resultan variables de gran importancia. Existen otras variables que también explican en buena medida la posibilidad de poseer un seguro de vida privado, como por ejemplo la edad o el nivel de estudios.</w:t>
      </w:r>
    </w:p>
    <w:p w14:paraId="1A1D69B4" w14:textId="456F8789" w:rsidR="00B52CF4" w:rsidRDefault="00B52CF4" w:rsidP="001861A5">
      <w:r>
        <w:t>La tenencia o no de un seguro de vida privada se relaciona directamente con variables de carácter económico (nivel de ingresos), carácter social (nivel educativo) y demográfico (lugar de residencia y edad). Estas contribuyen positivamente a la probabilidad de poseer un seguro de vida privado frente a no poseerlo.</w:t>
      </w:r>
    </w:p>
    <w:p w14:paraId="62AF5BF9" w14:textId="0513964C" w:rsidR="00763259" w:rsidRPr="001861A5" w:rsidRDefault="00763259" w:rsidP="001861A5">
      <w:r>
        <w:t xml:space="preserve">El resultado del modelo presenta una precisión del 91% aproximadamente, sin </w:t>
      </w:r>
      <w:r w:rsidR="0031081C">
        <w:t>embargo,</w:t>
      </w:r>
      <w:r>
        <w:t xml:space="preserve"> la tasa de verdaderos positivos predicha resulta baja, por lo que convendría una reformulación del modelo.</w:t>
      </w:r>
    </w:p>
    <w:p w14:paraId="7D7C3011" w14:textId="4297C126" w:rsidR="000B3FF2" w:rsidRDefault="006E6F3B" w:rsidP="006E6F3B">
      <w:pPr>
        <w:pStyle w:val="Ttulo1"/>
      </w:pPr>
      <w:r>
        <w:t>RESUMEN</w:t>
      </w:r>
    </w:p>
    <w:p w14:paraId="44A91875" w14:textId="05B922EC" w:rsidR="006E6F3B" w:rsidRDefault="006E6F3B" w:rsidP="006E6F3B">
      <w:r>
        <w:t xml:space="preserve">El dataset está compuesto por un total de 16 variables y 21.395 observaciones. </w:t>
      </w:r>
      <w:r w:rsidR="00F4011F">
        <w:t xml:space="preserve">Los datos resultan obtenidos de la Encuesta de Presupuestos Familiares correspondiente al año 2018. El objetivo es predecir la tenencia o no </w:t>
      </w:r>
      <w:r w:rsidR="0044465E">
        <w:t>d</w:t>
      </w:r>
      <w:r w:rsidR="00F4011F">
        <w:t>e un seguro de salud privado.</w:t>
      </w:r>
      <w:r w:rsidR="00594013">
        <w:t xml:space="preserve"> </w:t>
      </w:r>
    </w:p>
    <w:p w14:paraId="2A7D7B19" w14:textId="59025954" w:rsidR="00CF7CF8" w:rsidRDefault="00CF7CF8" w:rsidP="00CF7CF8">
      <w:pPr>
        <w:pStyle w:val="Ttulo1"/>
      </w:pPr>
      <w:r>
        <w:t>DESARROLLO</w:t>
      </w:r>
    </w:p>
    <w:p w14:paraId="4A29E114" w14:textId="026525BB" w:rsidR="00CF7CF8" w:rsidRDefault="00CF7CF8" w:rsidP="00CF7CF8">
      <w:r>
        <w:t>El primer paso, previo a realizar o estimar cualquier tipo de modelo es la limpieza del dataset. Se comprueba la existencia de valores omitidos o cuya codificación resulte ilógica respecto a lo esperado. Realizado esto, obtenemos un dataset de 20.020 observaciones.</w:t>
      </w:r>
    </w:p>
    <w:p w14:paraId="7D652F20" w14:textId="4D9070BD" w:rsidR="00000CB4" w:rsidRDefault="00000CB4" w:rsidP="00CF7CF8">
      <w:r>
        <w:t>En principio, incluiré todas las variables presentes, no se desea a priori perder porcentaje alguno de varianza explicada. Una vez llevado a cabo el cálculo del modelo, se observará que variables son más importantes en la predicción y cuales menos, pudiendo realizarse una reestimación del modelo con un número distinto de variables.</w:t>
      </w:r>
    </w:p>
    <w:p w14:paraId="6D08AB1B" w14:textId="5C40B269" w:rsidR="001F6A35" w:rsidRDefault="001F6A35" w:rsidP="00CF7CF8">
      <w:r>
        <w:t>Algunas de las variables son susceptibles de ser recodificadas, por ejemplo, el tipo del hogar o el régimen de tenencia de la vivienda.</w:t>
      </w:r>
    </w:p>
    <w:p w14:paraId="11E79FB0" w14:textId="0BDCB5E3" w:rsidR="001F6A35" w:rsidRDefault="001F6A35" w:rsidP="00CF7CF8">
      <w:r>
        <w:t xml:space="preserve">En el primer caso, se procede a una recodificación de la variable de tal forma que, de 12 posibles valores, pasamos a únicamente 5. Se agrupa en </w:t>
      </w:r>
      <w:r w:rsidR="00503D89">
        <w:t>hogares unipersonales, hogares en pareja sin hijos, en pareja con hijos y otros hogares.</w:t>
      </w:r>
    </w:p>
    <w:p w14:paraId="2D3A7592" w14:textId="7F7215BA" w:rsidR="00503D89" w:rsidRDefault="00503D89" w:rsidP="00CF7CF8">
      <w:r>
        <w:t>Para el régimen de tenencia de la vivienda se opta por una recodificación en 3 grupos, si se posee la vivienda en propiedad, ya sea hipotecada o no; si esta se encuentra en alquiler o si se trata de una cesión.</w:t>
      </w:r>
    </w:p>
    <w:p w14:paraId="56B88664" w14:textId="7F85915C" w:rsidR="00503D89" w:rsidRDefault="00F972C9" w:rsidP="00CF7CF8">
      <w:r>
        <w:t xml:space="preserve">En cuanto al encoding del resto de variables de dataset, observamos un ordinal encoding, es decir, algunas de las variables si bien pueden ser susceptibles de transformación a variables dicotómicas, se aprecia una estructura lógica subyacente en estas. Ejemplifico con el nivel de estudios. </w:t>
      </w:r>
    </w:p>
    <w:p w14:paraId="422664DE" w14:textId="799571AE" w:rsidR="00F972C9" w:rsidRDefault="00F972C9" w:rsidP="00CF7CF8">
      <w:r>
        <w:lastRenderedPageBreak/>
        <w:t>En la variable nivel de estudios se aprecian 4 posibles valores, inferior a educación secundaria, primera y segunda etapa de educación secundaria y estudios superiores, calificadas de 1 a 4 en ese orden respectivamente. Podrían crearse 4 variables dicotómicas que adoptasen los valores 1 y 0 en función de si se encuentran ubicado en tal nivel o no, pero en este caso, la estructura inherente de la variable ya nos aporta esa información, además en un orden lógico, el menor valor, es decir, 1; se corresponde con el menor nivel de estudios y, el mayor, 4; con el mayor nivel de estudios.</w:t>
      </w:r>
    </w:p>
    <w:p w14:paraId="17019972" w14:textId="568EBDAC" w:rsidR="0020489A" w:rsidRDefault="0020489A" w:rsidP="00CF7CF8">
      <w:r>
        <w:t xml:space="preserve">Al igual que ocurre con el nivel de estudios, pasa lo mismo con los </w:t>
      </w:r>
      <w:r w:rsidR="00666E03">
        <w:t>ingresos,</w:t>
      </w:r>
      <w:r>
        <w:t xml:space="preserve"> por ejemplo.</w:t>
      </w:r>
    </w:p>
    <w:p w14:paraId="58C631AD" w14:textId="303B305B" w:rsidR="00666E03" w:rsidRDefault="00666E03" w:rsidP="00CF7CF8">
      <w:r>
        <w:t>Una vez recodificado el dataset, se procede a la estimación de una regresión logística, se aprecia que variables como el sexo o, el tipo de hogar carecen de relevancia en el modelo. Otro tipo de variables como el nivel educativo o los ingresos, resultan claves.</w:t>
      </w:r>
    </w:p>
    <w:p w14:paraId="5579F4A6" w14:textId="59E066BC" w:rsidR="003B538F" w:rsidRDefault="00C50A98" w:rsidP="00CF7CF8">
      <w:r>
        <w:t>Un dato de gran importancia será la interpretación de los odd ratio, los cuales se muestran a continuación:</w:t>
      </w:r>
    </w:p>
    <w:p w14:paraId="5C781897" w14:textId="1790C833" w:rsidR="006123C8" w:rsidRDefault="006123C8" w:rsidP="006123C8">
      <w:pPr>
        <w:pStyle w:val="Descripcin"/>
        <w:keepNext/>
        <w:jc w:val="center"/>
      </w:pPr>
      <w:r>
        <w:t xml:space="preserve">Tabla </w:t>
      </w:r>
      <w:r>
        <w:fldChar w:fldCharType="begin"/>
      </w:r>
      <w:r>
        <w:instrText xml:space="preserve"> SEQ Tabla \* ARABIC </w:instrText>
      </w:r>
      <w:r>
        <w:fldChar w:fldCharType="separate"/>
      </w:r>
      <w:r w:rsidR="00836EA1">
        <w:rPr>
          <w:noProof/>
        </w:rPr>
        <w:t>1</w:t>
      </w:r>
      <w:r>
        <w:fldChar w:fldCharType="end"/>
      </w:r>
      <w:r>
        <w:t>: Odd ratio</w:t>
      </w:r>
    </w:p>
    <w:tbl>
      <w:tblPr>
        <w:tblStyle w:val="Tablaconcuadrcula"/>
        <w:tblW w:w="0" w:type="auto"/>
        <w:jc w:val="center"/>
        <w:tblLook w:val="04A0" w:firstRow="1" w:lastRow="0" w:firstColumn="1" w:lastColumn="0" w:noHBand="0" w:noVBand="1"/>
      </w:tblPr>
      <w:tblGrid>
        <w:gridCol w:w="4247"/>
        <w:gridCol w:w="4247"/>
      </w:tblGrid>
      <w:tr w:rsidR="005042E6" w:rsidRPr="005042E6" w14:paraId="167A3266" w14:textId="77777777" w:rsidTr="005042E6">
        <w:trPr>
          <w:jc w:val="center"/>
        </w:trPr>
        <w:tc>
          <w:tcPr>
            <w:tcW w:w="4247" w:type="dxa"/>
            <w:vAlign w:val="center"/>
          </w:tcPr>
          <w:p w14:paraId="57F1ADE7" w14:textId="7A2C0523" w:rsidR="005042E6" w:rsidRPr="005042E6" w:rsidRDefault="005042E6" w:rsidP="005042E6">
            <w:pPr>
              <w:jc w:val="center"/>
              <w:rPr>
                <w:sz w:val="18"/>
                <w:szCs w:val="18"/>
              </w:rPr>
            </w:pPr>
            <w:r w:rsidRPr="005042E6">
              <w:rPr>
                <w:sz w:val="18"/>
                <w:szCs w:val="18"/>
              </w:rPr>
              <w:t>TAMAÑO DEL MUNICIPIO</w:t>
            </w:r>
          </w:p>
        </w:tc>
        <w:tc>
          <w:tcPr>
            <w:tcW w:w="4247" w:type="dxa"/>
            <w:vAlign w:val="center"/>
          </w:tcPr>
          <w:p w14:paraId="6DA96450" w14:textId="190B0832" w:rsidR="005042E6" w:rsidRPr="005042E6" w:rsidRDefault="006123C8" w:rsidP="005042E6">
            <w:pPr>
              <w:jc w:val="center"/>
              <w:rPr>
                <w:sz w:val="18"/>
                <w:szCs w:val="18"/>
              </w:rPr>
            </w:pPr>
            <w:r>
              <w:rPr>
                <w:sz w:val="18"/>
                <w:szCs w:val="18"/>
              </w:rPr>
              <w:t>0.88</w:t>
            </w:r>
          </w:p>
        </w:tc>
      </w:tr>
      <w:tr w:rsidR="005042E6" w:rsidRPr="005042E6" w14:paraId="208F4848" w14:textId="77777777" w:rsidTr="005042E6">
        <w:trPr>
          <w:jc w:val="center"/>
        </w:trPr>
        <w:tc>
          <w:tcPr>
            <w:tcW w:w="4247" w:type="dxa"/>
            <w:vAlign w:val="center"/>
          </w:tcPr>
          <w:p w14:paraId="68EC24BB" w14:textId="50122523" w:rsidR="005042E6" w:rsidRPr="005042E6" w:rsidRDefault="0031081C" w:rsidP="005042E6">
            <w:pPr>
              <w:jc w:val="center"/>
              <w:rPr>
                <w:sz w:val="18"/>
                <w:szCs w:val="18"/>
              </w:rPr>
            </w:pPr>
            <w:r w:rsidRPr="005042E6">
              <w:rPr>
                <w:sz w:val="18"/>
                <w:szCs w:val="18"/>
              </w:rPr>
              <w:t>N.º</w:t>
            </w:r>
            <w:r w:rsidR="005042E6" w:rsidRPr="005042E6">
              <w:rPr>
                <w:sz w:val="18"/>
                <w:szCs w:val="18"/>
              </w:rPr>
              <w:t xml:space="preserve"> MIEMBROS DEL HOGAR</w:t>
            </w:r>
          </w:p>
        </w:tc>
        <w:tc>
          <w:tcPr>
            <w:tcW w:w="4247" w:type="dxa"/>
            <w:vAlign w:val="center"/>
          </w:tcPr>
          <w:p w14:paraId="464A042F" w14:textId="2D9AAB4A" w:rsidR="005042E6" w:rsidRPr="005042E6" w:rsidRDefault="006123C8" w:rsidP="005042E6">
            <w:pPr>
              <w:jc w:val="center"/>
              <w:rPr>
                <w:sz w:val="18"/>
                <w:szCs w:val="18"/>
              </w:rPr>
            </w:pPr>
            <w:r>
              <w:rPr>
                <w:sz w:val="18"/>
                <w:szCs w:val="18"/>
              </w:rPr>
              <w:t>0.96</w:t>
            </w:r>
          </w:p>
        </w:tc>
      </w:tr>
      <w:tr w:rsidR="005042E6" w:rsidRPr="005042E6" w14:paraId="5B213B28" w14:textId="77777777" w:rsidTr="005042E6">
        <w:trPr>
          <w:jc w:val="center"/>
        </w:trPr>
        <w:tc>
          <w:tcPr>
            <w:tcW w:w="4247" w:type="dxa"/>
            <w:vAlign w:val="center"/>
          </w:tcPr>
          <w:p w14:paraId="33D4B764" w14:textId="374E771C" w:rsidR="005042E6" w:rsidRPr="005042E6" w:rsidRDefault="0031081C" w:rsidP="005042E6">
            <w:pPr>
              <w:jc w:val="center"/>
              <w:rPr>
                <w:sz w:val="18"/>
                <w:szCs w:val="18"/>
              </w:rPr>
            </w:pPr>
            <w:r w:rsidRPr="005042E6">
              <w:rPr>
                <w:sz w:val="18"/>
                <w:szCs w:val="18"/>
              </w:rPr>
              <w:t>N.º</w:t>
            </w:r>
            <w:r w:rsidR="005042E6" w:rsidRPr="005042E6">
              <w:rPr>
                <w:sz w:val="18"/>
                <w:szCs w:val="18"/>
              </w:rPr>
              <w:t xml:space="preserve"> MIEMBROS &lt;14 AÑOS</w:t>
            </w:r>
          </w:p>
        </w:tc>
        <w:tc>
          <w:tcPr>
            <w:tcW w:w="4247" w:type="dxa"/>
            <w:vAlign w:val="center"/>
          </w:tcPr>
          <w:p w14:paraId="028C4AE1" w14:textId="2A9AADB8" w:rsidR="005042E6" w:rsidRPr="005042E6" w:rsidRDefault="006123C8" w:rsidP="005042E6">
            <w:pPr>
              <w:jc w:val="center"/>
              <w:rPr>
                <w:sz w:val="18"/>
                <w:szCs w:val="18"/>
              </w:rPr>
            </w:pPr>
            <w:r>
              <w:rPr>
                <w:sz w:val="18"/>
                <w:szCs w:val="18"/>
              </w:rPr>
              <w:t>1.27</w:t>
            </w:r>
          </w:p>
        </w:tc>
      </w:tr>
      <w:tr w:rsidR="005042E6" w:rsidRPr="005042E6" w14:paraId="4316AD1B" w14:textId="77777777" w:rsidTr="005042E6">
        <w:trPr>
          <w:jc w:val="center"/>
        </w:trPr>
        <w:tc>
          <w:tcPr>
            <w:tcW w:w="4247" w:type="dxa"/>
            <w:vAlign w:val="center"/>
          </w:tcPr>
          <w:p w14:paraId="24E747D3" w14:textId="7AEC070D" w:rsidR="005042E6" w:rsidRPr="005042E6" w:rsidRDefault="0031081C" w:rsidP="005042E6">
            <w:pPr>
              <w:jc w:val="center"/>
              <w:rPr>
                <w:sz w:val="18"/>
                <w:szCs w:val="18"/>
              </w:rPr>
            </w:pPr>
            <w:r w:rsidRPr="005042E6">
              <w:rPr>
                <w:sz w:val="18"/>
                <w:szCs w:val="18"/>
              </w:rPr>
              <w:t>N.º</w:t>
            </w:r>
            <w:r w:rsidR="005042E6" w:rsidRPr="005042E6">
              <w:rPr>
                <w:sz w:val="18"/>
                <w:szCs w:val="18"/>
              </w:rPr>
              <w:t xml:space="preserve"> MIEMBROS OCUPADOS</w:t>
            </w:r>
          </w:p>
        </w:tc>
        <w:tc>
          <w:tcPr>
            <w:tcW w:w="4247" w:type="dxa"/>
            <w:vAlign w:val="center"/>
          </w:tcPr>
          <w:p w14:paraId="57BB2F69" w14:textId="4E37F86C" w:rsidR="005042E6" w:rsidRPr="005042E6" w:rsidRDefault="006123C8" w:rsidP="005042E6">
            <w:pPr>
              <w:jc w:val="center"/>
              <w:rPr>
                <w:sz w:val="18"/>
                <w:szCs w:val="18"/>
              </w:rPr>
            </w:pPr>
            <w:r>
              <w:rPr>
                <w:sz w:val="18"/>
                <w:szCs w:val="18"/>
              </w:rPr>
              <w:t>1.07</w:t>
            </w:r>
          </w:p>
        </w:tc>
      </w:tr>
      <w:tr w:rsidR="005042E6" w:rsidRPr="005042E6" w14:paraId="26BCA3AD" w14:textId="77777777" w:rsidTr="005042E6">
        <w:trPr>
          <w:jc w:val="center"/>
        </w:trPr>
        <w:tc>
          <w:tcPr>
            <w:tcW w:w="4247" w:type="dxa"/>
            <w:vAlign w:val="center"/>
          </w:tcPr>
          <w:p w14:paraId="57FBB61B" w14:textId="13919AE3" w:rsidR="005042E6" w:rsidRPr="005042E6" w:rsidRDefault="005042E6" w:rsidP="005042E6">
            <w:pPr>
              <w:jc w:val="center"/>
              <w:rPr>
                <w:sz w:val="18"/>
                <w:szCs w:val="18"/>
              </w:rPr>
            </w:pPr>
            <w:r w:rsidRPr="005042E6">
              <w:rPr>
                <w:sz w:val="18"/>
                <w:szCs w:val="18"/>
              </w:rPr>
              <w:t>TIPO DE HOGAR</w:t>
            </w:r>
          </w:p>
        </w:tc>
        <w:tc>
          <w:tcPr>
            <w:tcW w:w="4247" w:type="dxa"/>
            <w:vAlign w:val="center"/>
          </w:tcPr>
          <w:p w14:paraId="6E8606B8" w14:textId="341616FB" w:rsidR="005042E6" w:rsidRPr="005042E6" w:rsidRDefault="006123C8" w:rsidP="005042E6">
            <w:pPr>
              <w:jc w:val="center"/>
              <w:rPr>
                <w:sz w:val="18"/>
                <w:szCs w:val="18"/>
              </w:rPr>
            </w:pPr>
            <w:r>
              <w:rPr>
                <w:sz w:val="18"/>
                <w:szCs w:val="18"/>
              </w:rPr>
              <w:t>0.91</w:t>
            </w:r>
          </w:p>
        </w:tc>
      </w:tr>
      <w:tr w:rsidR="005042E6" w:rsidRPr="005042E6" w14:paraId="1CFDFB3E" w14:textId="77777777" w:rsidTr="005042E6">
        <w:trPr>
          <w:jc w:val="center"/>
        </w:trPr>
        <w:tc>
          <w:tcPr>
            <w:tcW w:w="4247" w:type="dxa"/>
            <w:vAlign w:val="center"/>
          </w:tcPr>
          <w:p w14:paraId="2DDFEDCE" w14:textId="2AB8CED2" w:rsidR="005042E6" w:rsidRPr="005042E6" w:rsidRDefault="005042E6" w:rsidP="005042E6">
            <w:pPr>
              <w:jc w:val="center"/>
              <w:rPr>
                <w:sz w:val="18"/>
                <w:szCs w:val="18"/>
              </w:rPr>
            </w:pPr>
            <w:r w:rsidRPr="005042E6">
              <w:rPr>
                <w:sz w:val="18"/>
                <w:szCs w:val="18"/>
              </w:rPr>
              <w:t>EDAD</w:t>
            </w:r>
          </w:p>
        </w:tc>
        <w:tc>
          <w:tcPr>
            <w:tcW w:w="4247" w:type="dxa"/>
            <w:vAlign w:val="center"/>
          </w:tcPr>
          <w:p w14:paraId="02B2B608" w14:textId="2521B996" w:rsidR="005042E6" w:rsidRPr="005042E6" w:rsidRDefault="006123C8" w:rsidP="005042E6">
            <w:pPr>
              <w:jc w:val="center"/>
              <w:rPr>
                <w:sz w:val="18"/>
                <w:szCs w:val="18"/>
              </w:rPr>
            </w:pPr>
            <w:r>
              <w:rPr>
                <w:sz w:val="18"/>
                <w:szCs w:val="18"/>
              </w:rPr>
              <w:t>1.02</w:t>
            </w:r>
          </w:p>
        </w:tc>
      </w:tr>
      <w:tr w:rsidR="005042E6" w:rsidRPr="005042E6" w14:paraId="006A2114" w14:textId="77777777" w:rsidTr="005042E6">
        <w:trPr>
          <w:jc w:val="center"/>
        </w:trPr>
        <w:tc>
          <w:tcPr>
            <w:tcW w:w="4247" w:type="dxa"/>
            <w:vAlign w:val="center"/>
          </w:tcPr>
          <w:p w14:paraId="569C450D" w14:textId="35C26B11" w:rsidR="005042E6" w:rsidRPr="005042E6" w:rsidRDefault="005042E6" w:rsidP="005042E6">
            <w:pPr>
              <w:jc w:val="center"/>
              <w:rPr>
                <w:sz w:val="18"/>
                <w:szCs w:val="18"/>
              </w:rPr>
            </w:pPr>
            <w:r w:rsidRPr="005042E6">
              <w:rPr>
                <w:sz w:val="18"/>
                <w:szCs w:val="18"/>
              </w:rPr>
              <w:t>SEXO</w:t>
            </w:r>
          </w:p>
        </w:tc>
        <w:tc>
          <w:tcPr>
            <w:tcW w:w="4247" w:type="dxa"/>
            <w:vAlign w:val="center"/>
          </w:tcPr>
          <w:p w14:paraId="4411F829" w14:textId="34BAD70E" w:rsidR="005042E6" w:rsidRPr="005042E6" w:rsidRDefault="006123C8" w:rsidP="005042E6">
            <w:pPr>
              <w:jc w:val="center"/>
              <w:rPr>
                <w:sz w:val="18"/>
                <w:szCs w:val="18"/>
              </w:rPr>
            </w:pPr>
            <w:r>
              <w:rPr>
                <w:sz w:val="18"/>
                <w:szCs w:val="18"/>
              </w:rPr>
              <w:t>1.04</w:t>
            </w:r>
          </w:p>
        </w:tc>
      </w:tr>
      <w:tr w:rsidR="005042E6" w:rsidRPr="005042E6" w14:paraId="0E19D4C2" w14:textId="77777777" w:rsidTr="005042E6">
        <w:trPr>
          <w:jc w:val="center"/>
        </w:trPr>
        <w:tc>
          <w:tcPr>
            <w:tcW w:w="4247" w:type="dxa"/>
            <w:vAlign w:val="center"/>
          </w:tcPr>
          <w:p w14:paraId="0283AA20" w14:textId="633E4E71" w:rsidR="005042E6" w:rsidRPr="005042E6" w:rsidRDefault="005042E6" w:rsidP="005042E6">
            <w:pPr>
              <w:jc w:val="center"/>
              <w:rPr>
                <w:sz w:val="18"/>
                <w:szCs w:val="18"/>
              </w:rPr>
            </w:pPr>
            <w:r w:rsidRPr="005042E6">
              <w:rPr>
                <w:sz w:val="18"/>
                <w:szCs w:val="18"/>
              </w:rPr>
              <w:t>NIVEL EDUCATIVO</w:t>
            </w:r>
          </w:p>
        </w:tc>
        <w:tc>
          <w:tcPr>
            <w:tcW w:w="4247" w:type="dxa"/>
            <w:vAlign w:val="center"/>
          </w:tcPr>
          <w:p w14:paraId="10224766" w14:textId="43CE2E93" w:rsidR="005042E6" w:rsidRPr="005042E6" w:rsidRDefault="006123C8" w:rsidP="005042E6">
            <w:pPr>
              <w:jc w:val="center"/>
              <w:rPr>
                <w:sz w:val="18"/>
                <w:szCs w:val="18"/>
              </w:rPr>
            </w:pPr>
            <w:r>
              <w:rPr>
                <w:sz w:val="18"/>
                <w:szCs w:val="18"/>
              </w:rPr>
              <w:t>1.34</w:t>
            </w:r>
          </w:p>
        </w:tc>
      </w:tr>
      <w:tr w:rsidR="005042E6" w:rsidRPr="005042E6" w14:paraId="5D54B09C" w14:textId="77777777" w:rsidTr="005042E6">
        <w:trPr>
          <w:jc w:val="center"/>
        </w:trPr>
        <w:tc>
          <w:tcPr>
            <w:tcW w:w="4247" w:type="dxa"/>
            <w:vAlign w:val="center"/>
          </w:tcPr>
          <w:p w14:paraId="1003C041" w14:textId="62EEB7F0" w:rsidR="005042E6" w:rsidRPr="005042E6" w:rsidRDefault="005042E6" w:rsidP="005042E6">
            <w:pPr>
              <w:jc w:val="center"/>
              <w:rPr>
                <w:sz w:val="18"/>
                <w:szCs w:val="18"/>
              </w:rPr>
            </w:pPr>
            <w:r w:rsidRPr="005042E6">
              <w:rPr>
                <w:sz w:val="18"/>
                <w:szCs w:val="18"/>
              </w:rPr>
              <w:t xml:space="preserve">OCUPACION </w:t>
            </w:r>
            <w:r w:rsidR="0031081C" w:rsidRPr="005042E6">
              <w:rPr>
                <w:sz w:val="18"/>
                <w:szCs w:val="18"/>
              </w:rPr>
              <w:t>PRE-ENCUESTA</w:t>
            </w:r>
          </w:p>
        </w:tc>
        <w:tc>
          <w:tcPr>
            <w:tcW w:w="4247" w:type="dxa"/>
            <w:vAlign w:val="center"/>
          </w:tcPr>
          <w:p w14:paraId="7AF3280F" w14:textId="47B470CE" w:rsidR="005042E6" w:rsidRPr="005042E6" w:rsidRDefault="006123C8" w:rsidP="005042E6">
            <w:pPr>
              <w:jc w:val="center"/>
              <w:rPr>
                <w:sz w:val="18"/>
                <w:szCs w:val="18"/>
              </w:rPr>
            </w:pPr>
            <w:r>
              <w:rPr>
                <w:sz w:val="18"/>
                <w:szCs w:val="18"/>
              </w:rPr>
              <w:t>1.06</w:t>
            </w:r>
          </w:p>
        </w:tc>
      </w:tr>
      <w:tr w:rsidR="005042E6" w:rsidRPr="005042E6" w14:paraId="486D7875" w14:textId="77777777" w:rsidTr="005042E6">
        <w:trPr>
          <w:jc w:val="center"/>
        </w:trPr>
        <w:tc>
          <w:tcPr>
            <w:tcW w:w="4247" w:type="dxa"/>
            <w:vAlign w:val="center"/>
          </w:tcPr>
          <w:p w14:paraId="15083B26" w14:textId="31209610" w:rsidR="005042E6" w:rsidRPr="005042E6" w:rsidRDefault="005042E6" w:rsidP="005042E6">
            <w:pPr>
              <w:jc w:val="center"/>
              <w:rPr>
                <w:sz w:val="18"/>
                <w:szCs w:val="18"/>
              </w:rPr>
            </w:pPr>
            <w:r w:rsidRPr="005042E6">
              <w:rPr>
                <w:sz w:val="18"/>
                <w:szCs w:val="18"/>
              </w:rPr>
              <w:t>INGRESOS SUSTENTADOR PRINCIPAL</w:t>
            </w:r>
          </w:p>
        </w:tc>
        <w:tc>
          <w:tcPr>
            <w:tcW w:w="4247" w:type="dxa"/>
            <w:vAlign w:val="center"/>
          </w:tcPr>
          <w:p w14:paraId="77D1D88C" w14:textId="4B41BB2F" w:rsidR="005042E6" w:rsidRPr="005042E6" w:rsidRDefault="006123C8" w:rsidP="005042E6">
            <w:pPr>
              <w:jc w:val="center"/>
              <w:rPr>
                <w:sz w:val="18"/>
                <w:szCs w:val="18"/>
              </w:rPr>
            </w:pPr>
            <w:r>
              <w:rPr>
                <w:sz w:val="18"/>
                <w:szCs w:val="18"/>
              </w:rPr>
              <w:t>1.25</w:t>
            </w:r>
          </w:p>
        </w:tc>
      </w:tr>
      <w:tr w:rsidR="005042E6" w:rsidRPr="005042E6" w14:paraId="3421F367" w14:textId="77777777" w:rsidTr="005042E6">
        <w:trPr>
          <w:jc w:val="center"/>
        </w:trPr>
        <w:tc>
          <w:tcPr>
            <w:tcW w:w="4247" w:type="dxa"/>
            <w:vAlign w:val="center"/>
          </w:tcPr>
          <w:p w14:paraId="2AB2F540" w14:textId="7E9C886E" w:rsidR="005042E6" w:rsidRPr="005042E6" w:rsidRDefault="005042E6" w:rsidP="005042E6">
            <w:pPr>
              <w:jc w:val="center"/>
              <w:rPr>
                <w:sz w:val="18"/>
                <w:szCs w:val="18"/>
              </w:rPr>
            </w:pPr>
            <w:r w:rsidRPr="005042E6">
              <w:rPr>
                <w:sz w:val="18"/>
                <w:szCs w:val="18"/>
              </w:rPr>
              <w:t>TENENCIA VIVIENDA</w:t>
            </w:r>
          </w:p>
        </w:tc>
        <w:tc>
          <w:tcPr>
            <w:tcW w:w="4247" w:type="dxa"/>
            <w:vAlign w:val="center"/>
          </w:tcPr>
          <w:p w14:paraId="2E775C70" w14:textId="16CB48CA" w:rsidR="005042E6" w:rsidRPr="005042E6" w:rsidRDefault="006123C8" w:rsidP="005042E6">
            <w:pPr>
              <w:jc w:val="center"/>
              <w:rPr>
                <w:sz w:val="18"/>
                <w:szCs w:val="18"/>
              </w:rPr>
            </w:pPr>
            <w:r>
              <w:rPr>
                <w:sz w:val="18"/>
                <w:szCs w:val="18"/>
              </w:rPr>
              <w:t>0.92</w:t>
            </w:r>
          </w:p>
        </w:tc>
      </w:tr>
      <w:tr w:rsidR="005042E6" w:rsidRPr="005042E6" w14:paraId="198C92D7" w14:textId="77777777" w:rsidTr="005042E6">
        <w:trPr>
          <w:jc w:val="center"/>
        </w:trPr>
        <w:tc>
          <w:tcPr>
            <w:tcW w:w="4247" w:type="dxa"/>
            <w:vAlign w:val="center"/>
          </w:tcPr>
          <w:p w14:paraId="15839189" w14:textId="3ED74422" w:rsidR="005042E6" w:rsidRPr="005042E6" w:rsidRDefault="005042E6" w:rsidP="005042E6">
            <w:pPr>
              <w:jc w:val="center"/>
              <w:rPr>
                <w:sz w:val="18"/>
                <w:szCs w:val="18"/>
              </w:rPr>
            </w:pPr>
            <w:r w:rsidRPr="005042E6">
              <w:rPr>
                <w:sz w:val="18"/>
                <w:szCs w:val="18"/>
              </w:rPr>
              <w:t>SUPERFICIE VIVIENDA</w:t>
            </w:r>
          </w:p>
        </w:tc>
        <w:tc>
          <w:tcPr>
            <w:tcW w:w="4247" w:type="dxa"/>
            <w:vAlign w:val="center"/>
          </w:tcPr>
          <w:p w14:paraId="7372E372" w14:textId="7433C9B3" w:rsidR="005042E6" w:rsidRPr="005042E6" w:rsidRDefault="006123C8" w:rsidP="005042E6">
            <w:pPr>
              <w:jc w:val="center"/>
              <w:rPr>
                <w:sz w:val="18"/>
                <w:szCs w:val="18"/>
              </w:rPr>
            </w:pPr>
            <w:r>
              <w:rPr>
                <w:sz w:val="18"/>
                <w:szCs w:val="18"/>
              </w:rPr>
              <w:t>1.75</w:t>
            </w:r>
          </w:p>
        </w:tc>
      </w:tr>
      <w:tr w:rsidR="005042E6" w:rsidRPr="005042E6" w14:paraId="604C3F4C" w14:textId="77777777" w:rsidTr="005042E6">
        <w:trPr>
          <w:jc w:val="center"/>
        </w:trPr>
        <w:tc>
          <w:tcPr>
            <w:tcW w:w="4247" w:type="dxa"/>
            <w:vAlign w:val="center"/>
          </w:tcPr>
          <w:p w14:paraId="40E9F07D" w14:textId="33C577B1" w:rsidR="005042E6" w:rsidRPr="005042E6" w:rsidRDefault="005042E6" w:rsidP="005042E6">
            <w:pPr>
              <w:jc w:val="center"/>
              <w:rPr>
                <w:sz w:val="18"/>
                <w:szCs w:val="18"/>
              </w:rPr>
            </w:pPr>
            <w:r w:rsidRPr="005042E6">
              <w:rPr>
                <w:sz w:val="18"/>
                <w:szCs w:val="18"/>
              </w:rPr>
              <w:t>INGRESOS FAMILIA</w:t>
            </w:r>
          </w:p>
        </w:tc>
        <w:tc>
          <w:tcPr>
            <w:tcW w:w="4247" w:type="dxa"/>
            <w:vAlign w:val="center"/>
          </w:tcPr>
          <w:p w14:paraId="69BBAF98" w14:textId="0C6B245C" w:rsidR="005042E6" w:rsidRPr="005042E6" w:rsidRDefault="006123C8" w:rsidP="005042E6">
            <w:pPr>
              <w:jc w:val="center"/>
              <w:rPr>
                <w:sz w:val="18"/>
                <w:szCs w:val="18"/>
              </w:rPr>
            </w:pPr>
            <w:r>
              <w:rPr>
                <w:sz w:val="18"/>
                <w:szCs w:val="18"/>
              </w:rPr>
              <w:t>1.27</w:t>
            </w:r>
          </w:p>
        </w:tc>
      </w:tr>
    </w:tbl>
    <w:p w14:paraId="2C8FBA65" w14:textId="13B6E464" w:rsidR="009939FE" w:rsidRDefault="009939FE" w:rsidP="006123C8"/>
    <w:p w14:paraId="46ED075D" w14:textId="0E6750B4" w:rsidR="006123C8" w:rsidRDefault="006123C8" w:rsidP="006123C8">
      <w:r>
        <w:t xml:space="preserve">Aquellos odd ratio superiores a uno, indican que un incremento de una unidad en esa </w:t>
      </w:r>
      <w:r w:rsidR="008B7430">
        <w:t>variable</w:t>
      </w:r>
      <w:r>
        <w:t xml:space="preserve"> aumenta la probabilidad de poseer un seguro de vida privado frente a no poseerlo. Mientras que aquellos odd ratio inferiores a 1, indican lo contrario.</w:t>
      </w:r>
    </w:p>
    <w:p w14:paraId="6A4FE864" w14:textId="06D761F4" w:rsidR="006123C8" w:rsidRDefault="007B73E2" w:rsidP="006123C8">
      <w:r>
        <w:t>Por ejemplo, de un municipio de 100.000 habitantes o más, a un municipio de entre 50.000 y 100.000 habitantes, el efecto sería 0.88^2, lo que da como resultado 0.77, es decir, la probabilidad de tener seguro privado frente a no tenerlo se reduciría un 23%.</w:t>
      </w:r>
      <w:r w:rsidR="00836F4B">
        <w:t xml:space="preserve"> Si atendemos a otra variable, por ejemplo, el nivel educativo; pasar de un nivel educativo inferior a la secundaria, al siguiente, primera etapa de la secundaria, el efecto sería 1.34^2, lo que da como resultado 1.79. Esto quiere decir que la probabilidad de tener un seguro privado frente a no tenerlo se incrementa un 79%.</w:t>
      </w:r>
    </w:p>
    <w:p w14:paraId="0FD588B0" w14:textId="0F73C48B" w:rsidR="00140D57" w:rsidRDefault="00140D57" w:rsidP="006123C8">
      <w:r>
        <w:t>En verdad lo que interpretamos es e^beta, de aquí obtenemos las variaciones en la ventaja relativa.</w:t>
      </w:r>
    </w:p>
    <w:p w14:paraId="6747CDCD" w14:textId="2550B89E" w:rsidR="00A93947" w:rsidRDefault="00A93947" w:rsidP="006123C8">
      <w:r>
        <w:t>Represento un histograma de la predicción del modelo, con ello observo donde marcar el cut off y asignar a la probabilidad de cada individuo un resultado final, 1 o 0</w:t>
      </w:r>
      <w:r w:rsidR="00AB7210">
        <w:t>; poseer seguro privado o no poseerlo.</w:t>
      </w:r>
    </w:p>
    <w:p w14:paraId="311259DD" w14:textId="025E2E8E" w:rsidR="00E50437" w:rsidRDefault="00E50437" w:rsidP="00E50437">
      <w:pPr>
        <w:pStyle w:val="Descripcin"/>
        <w:keepNext/>
        <w:jc w:val="center"/>
      </w:pPr>
      <w:r>
        <w:lastRenderedPageBreak/>
        <w:t xml:space="preserve">Ilustración </w:t>
      </w:r>
      <w:r>
        <w:fldChar w:fldCharType="begin"/>
      </w:r>
      <w:r>
        <w:instrText xml:space="preserve"> SEQ Ilustración \* ARABIC </w:instrText>
      </w:r>
      <w:r>
        <w:fldChar w:fldCharType="separate"/>
      </w:r>
      <w:r w:rsidR="00836EA1">
        <w:rPr>
          <w:noProof/>
        </w:rPr>
        <w:t>1</w:t>
      </w:r>
      <w:r>
        <w:fldChar w:fldCharType="end"/>
      </w:r>
      <w:r>
        <w:t>: Histograma frecuencia de probabilidades</w:t>
      </w:r>
    </w:p>
    <w:p w14:paraId="24C75978" w14:textId="09AB3CB1" w:rsidR="00E50437" w:rsidRDefault="00E50437" w:rsidP="00E50437">
      <w:pPr>
        <w:jc w:val="center"/>
      </w:pPr>
      <w:r>
        <w:rPr>
          <w:noProof/>
        </w:rPr>
        <w:drawing>
          <wp:inline distT="0" distB="0" distL="0" distR="0" wp14:anchorId="09440568" wp14:editId="382EDD17">
            <wp:extent cx="4213860" cy="21599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46" t="6772" r="3904" b="6439"/>
                    <a:stretch/>
                  </pic:blipFill>
                  <pic:spPr bwMode="auto">
                    <a:xfrm>
                      <a:off x="0" y="0"/>
                      <a:ext cx="4239354" cy="2173061"/>
                    </a:xfrm>
                    <a:prstGeom prst="rect">
                      <a:avLst/>
                    </a:prstGeom>
                    <a:ln>
                      <a:noFill/>
                    </a:ln>
                    <a:extLst>
                      <a:ext uri="{53640926-AAD7-44D8-BBD7-CCE9431645EC}">
                        <a14:shadowObscured xmlns:a14="http://schemas.microsoft.com/office/drawing/2010/main"/>
                      </a:ext>
                    </a:extLst>
                  </pic:spPr>
                </pic:pic>
              </a:graphicData>
            </a:graphic>
          </wp:inline>
        </w:drawing>
      </w:r>
    </w:p>
    <w:p w14:paraId="7C03832F" w14:textId="364D928A" w:rsidR="00E50437" w:rsidRDefault="00E50437" w:rsidP="00E50437">
      <w:r>
        <w:t>Una vez visualizado el histograma establezco un cut off en 0.4, es decir, cualquier individuo con una pro</w:t>
      </w:r>
      <w:r w:rsidR="00325CD5">
        <w:t>ba</w:t>
      </w:r>
      <w:r>
        <w:t>bilidad mayor de 0.4 doy por hecho que tiene seguro privado, en caso contrario no.</w:t>
      </w:r>
    </w:p>
    <w:p w14:paraId="58FB8A8E" w14:textId="181FF153" w:rsidR="00763259" w:rsidRDefault="00763259" w:rsidP="00E50437">
      <w:r>
        <w:t>Una vez establecido el cut off, se procede a la predicción del modelo sobre la muestra de validación, el resultado es la siguiente matriz de confusión.</w:t>
      </w:r>
    </w:p>
    <w:p w14:paraId="52A26BFC" w14:textId="384B41C8" w:rsidR="00763259" w:rsidRDefault="00763259" w:rsidP="00763259">
      <w:pPr>
        <w:pStyle w:val="Descripcin"/>
        <w:keepNext/>
        <w:jc w:val="center"/>
      </w:pPr>
      <w:r>
        <w:t xml:space="preserve">Tabla </w:t>
      </w:r>
      <w:r>
        <w:fldChar w:fldCharType="begin"/>
      </w:r>
      <w:r>
        <w:instrText xml:space="preserve"> SEQ Tabla \* ARABIC </w:instrText>
      </w:r>
      <w:r>
        <w:fldChar w:fldCharType="separate"/>
      </w:r>
      <w:r w:rsidR="00836EA1">
        <w:rPr>
          <w:noProof/>
        </w:rPr>
        <w:t>2</w:t>
      </w:r>
      <w:r>
        <w:fldChar w:fldCharType="end"/>
      </w:r>
      <w:r>
        <w:t>: Matriz de confusión</w:t>
      </w:r>
    </w:p>
    <w:tbl>
      <w:tblPr>
        <w:tblStyle w:val="Tablaconcuadrcula"/>
        <w:tblW w:w="0" w:type="auto"/>
        <w:tblLook w:val="04A0" w:firstRow="1" w:lastRow="0" w:firstColumn="1" w:lastColumn="0" w:noHBand="0" w:noVBand="1"/>
      </w:tblPr>
      <w:tblGrid>
        <w:gridCol w:w="2831"/>
        <w:gridCol w:w="2831"/>
        <w:gridCol w:w="2832"/>
      </w:tblGrid>
      <w:tr w:rsidR="00763259" w14:paraId="44C5AC19" w14:textId="77777777" w:rsidTr="00763259">
        <w:tc>
          <w:tcPr>
            <w:tcW w:w="2831" w:type="dxa"/>
            <w:tcBorders>
              <w:top w:val="nil"/>
              <w:left w:val="nil"/>
              <w:bottom w:val="single" w:sz="4" w:space="0" w:color="auto"/>
              <w:right w:val="single" w:sz="4" w:space="0" w:color="auto"/>
            </w:tcBorders>
            <w:vAlign w:val="center"/>
          </w:tcPr>
          <w:p w14:paraId="58AC4D83" w14:textId="77777777" w:rsidR="00763259" w:rsidRDefault="00763259" w:rsidP="00763259">
            <w:pPr>
              <w:jc w:val="center"/>
            </w:pPr>
          </w:p>
        </w:tc>
        <w:tc>
          <w:tcPr>
            <w:tcW w:w="5663" w:type="dxa"/>
            <w:gridSpan w:val="2"/>
            <w:tcBorders>
              <w:left w:val="single" w:sz="4" w:space="0" w:color="auto"/>
            </w:tcBorders>
            <w:vAlign w:val="center"/>
          </w:tcPr>
          <w:p w14:paraId="0E649C1D" w14:textId="694FAA53" w:rsidR="00763259" w:rsidRDefault="00763259" w:rsidP="00763259">
            <w:pPr>
              <w:jc w:val="center"/>
            </w:pPr>
            <w:r>
              <w:t>Predicho</w:t>
            </w:r>
          </w:p>
        </w:tc>
      </w:tr>
      <w:tr w:rsidR="00763259" w14:paraId="7EC8BA37" w14:textId="77777777" w:rsidTr="00763259">
        <w:tc>
          <w:tcPr>
            <w:tcW w:w="2831" w:type="dxa"/>
            <w:tcBorders>
              <w:top w:val="single" w:sz="4" w:space="0" w:color="auto"/>
            </w:tcBorders>
            <w:vAlign w:val="center"/>
          </w:tcPr>
          <w:p w14:paraId="6E681152" w14:textId="7F8227E3" w:rsidR="00763259" w:rsidRDefault="00763259" w:rsidP="00763259">
            <w:pPr>
              <w:jc w:val="center"/>
            </w:pPr>
            <w:r>
              <w:t>Actual</w:t>
            </w:r>
          </w:p>
        </w:tc>
        <w:tc>
          <w:tcPr>
            <w:tcW w:w="2831" w:type="dxa"/>
            <w:vAlign w:val="center"/>
          </w:tcPr>
          <w:p w14:paraId="296D799E" w14:textId="6F69A85F" w:rsidR="00763259" w:rsidRDefault="00763259" w:rsidP="00763259">
            <w:pPr>
              <w:jc w:val="center"/>
            </w:pPr>
            <w:r>
              <w:t>Sin seguro</w:t>
            </w:r>
          </w:p>
        </w:tc>
        <w:tc>
          <w:tcPr>
            <w:tcW w:w="2832" w:type="dxa"/>
            <w:vAlign w:val="center"/>
          </w:tcPr>
          <w:p w14:paraId="67DF5B91" w14:textId="4890226B" w:rsidR="00763259" w:rsidRDefault="00763259" w:rsidP="00763259">
            <w:pPr>
              <w:jc w:val="center"/>
            </w:pPr>
            <w:r>
              <w:t>Con seguro</w:t>
            </w:r>
          </w:p>
        </w:tc>
      </w:tr>
      <w:tr w:rsidR="00763259" w14:paraId="35141C08" w14:textId="77777777" w:rsidTr="00763259">
        <w:tc>
          <w:tcPr>
            <w:tcW w:w="2831" w:type="dxa"/>
            <w:vAlign w:val="center"/>
          </w:tcPr>
          <w:p w14:paraId="759CC970" w14:textId="12A0325A" w:rsidR="00763259" w:rsidRDefault="00763259" w:rsidP="00763259">
            <w:pPr>
              <w:jc w:val="center"/>
            </w:pPr>
            <w:r>
              <w:t>Sin seguro</w:t>
            </w:r>
          </w:p>
        </w:tc>
        <w:tc>
          <w:tcPr>
            <w:tcW w:w="2831" w:type="dxa"/>
            <w:vAlign w:val="center"/>
          </w:tcPr>
          <w:p w14:paraId="1AE8B877" w14:textId="33D5199C" w:rsidR="00763259" w:rsidRDefault="00763259" w:rsidP="00763259">
            <w:pPr>
              <w:jc w:val="center"/>
            </w:pPr>
            <w:r>
              <w:t>5431</w:t>
            </w:r>
          </w:p>
        </w:tc>
        <w:tc>
          <w:tcPr>
            <w:tcW w:w="2832" w:type="dxa"/>
            <w:vAlign w:val="center"/>
          </w:tcPr>
          <w:p w14:paraId="6CF95A8F" w14:textId="02132424" w:rsidR="00763259" w:rsidRDefault="00763259" w:rsidP="00763259">
            <w:pPr>
              <w:jc w:val="center"/>
            </w:pPr>
            <w:r>
              <w:t>59</w:t>
            </w:r>
          </w:p>
        </w:tc>
      </w:tr>
      <w:tr w:rsidR="00763259" w14:paraId="6283FA51" w14:textId="77777777" w:rsidTr="00763259">
        <w:tc>
          <w:tcPr>
            <w:tcW w:w="2831" w:type="dxa"/>
            <w:vAlign w:val="center"/>
          </w:tcPr>
          <w:p w14:paraId="5F8430F3" w14:textId="69857CF0" w:rsidR="00763259" w:rsidRDefault="00763259" w:rsidP="00763259">
            <w:pPr>
              <w:jc w:val="center"/>
            </w:pPr>
            <w:r>
              <w:t>Con seguro</w:t>
            </w:r>
          </w:p>
        </w:tc>
        <w:tc>
          <w:tcPr>
            <w:tcW w:w="2831" w:type="dxa"/>
            <w:vAlign w:val="center"/>
          </w:tcPr>
          <w:p w14:paraId="6D56D682" w14:textId="3DDFD4CB" w:rsidR="00763259" w:rsidRDefault="00763259" w:rsidP="00763259">
            <w:pPr>
              <w:jc w:val="center"/>
            </w:pPr>
            <w:r>
              <w:t>477</w:t>
            </w:r>
          </w:p>
        </w:tc>
        <w:tc>
          <w:tcPr>
            <w:tcW w:w="2832" w:type="dxa"/>
            <w:vAlign w:val="center"/>
          </w:tcPr>
          <w:p w14:paraId="37701936" w14:textId="3DBDC253" w:rsidR="00763259" w:rsidRDefault="00763259" w:rsidP="00763259">
            <w:pPr>
              <w:jc w:val="center"/>
            </w:pPr>
            <w:r>
              <w:t>39</w:t>
            </w:r>
          </w:p>
        </w:tc>
      </w:tr>
    </w:tbl>
    <w:p w14:paraId="1C79CDA1" w14:textId="77777777" w:rsidR="00763259" w:rsidRDefault="00763259" w:rsidP="00E50437"/>
    <w:p w14:paraId="00DFB597" w14:textId="2DB822E0" w:rsidR="00E50437" w:rsidRDefault="00763259" w:rsidP="00E50437">
      <w:r>
        <w:t>El modelo calculado presenta una precisión del 91% aproximadamente en las predicciones sobre la muestra de entrenamiento. Sin embargo</w:t>
      </w:r>
      <w:r w:rsidR="00C25EE2">
        <w:t>,</w:t>
      </w:r>
      <w:r>
        <w:t xml:space="preserve"> el resultado es engañoso</w:t>
      </w:r>
      <w:r w:rsidR="00C2693B">
        <w:t>;</w:t>
      </w:r>
      <w:r>
        <w:t xml:space="preserve"> puesto </w:t>
      </w:r>
      <w:r w:rsidR="00C25EE2">
        <w:t>que,</w:t>
      </w:r>
      <w:r>
        <w:t xml:space="preserve"> aunque la tasa de verdaderos negativos es alta, la de verdaderos positivos </w:t>
      </w:r>
      <w:r w:rsidR="00C2693B">
        <w:t>resulta baja</w:t>
      </w:r>
      <w:r>
        <w:t>.</w:t>
      </w:r>
    </w:p>
    <w:sdt>
      <w:sdtPr>
        <w:id w:val="689188360"/>
        <w:docPartObj>
          <w:docPartGallery w:val="Bibliographies"/>
          <w:docPartUnique/>
        </w:docPartObj>
      </w:sdtPr>
      <w:sdtEndPr>
        <w:rPr>
          <w:rFonts w:eastAsiaTheme="minorHAnsi" w:cstheme="minorBidi"/>
          <w:sz w:val="22"/>
          <w:szCs w:val="22"/>
        </w:rPr>
      </w:sdtEndPr>
      <w:sdtContent>
        <w:p w14:paraId="0EA3F8A7" w14:textId="59184E8C" w:rsidR="0097348D" w:rsidRDefault="0097348D">
          <w:pPr>
            <w:pStyle w:val="Ttulo1"/>
          </w:pPr>
          <w:r>
            <w:t>Bibliografía</w:t>
          </w:r>
        </w:p>
        <w:sdt>
          <w:sdtPr>
            <w:id w:val="111145805"/>
            <w:bibliography/>
          </w:sdtPr>
          <w:sdtContent>
            <w:p w14:paraId="3C17C26F" w14:textId="77777777" w:rsidR="0097348D" w:rsidRDefault="0097348D" w:rsidP="0097348D">
              <w:pPr>
                <w:pStyle w:val="Bibliografa"/>
                <w:ind w:left="720" w:hanging="720"/>
                <w:rPr>
                  <w:noProof/>
                  <w:sz w:val="24"/>
                  <w:szCs w:val="24"/>
                </w:rPr>
              </w:pPr>
              <w:r>
                <w:fldChar w:fldCharType="begin"/>
              </w:r>
              <w:r>
                <w:instrText>BIBLIOGRAPHY</w:instrText>
              </w:r>
              <w:r>
                <w:fldChar w:fldCharType="separate"/>
              </w:r>
              <w:r>
                <w:rPr>
                  <w:noProof/>
                </w:rPr>
                <w:t xml:space="preserve">James, G., Witten, D., Hastie, T., &amp; Tibshirani, R. (2013). </w:t>
              </w:r>
              <w:r>
                <w:rPr>
                  <w:i/>
                  <w:iCs/>
                  <w:noProof/>
                </w:rPr>
                <w:t>An Introduction to Statistical Learning.</w:t>
              </w:r>
              <w:r>
                <w:rPr>
                  <w:noProof/>
                </w:rPr>
                <w:t xml:space="preserve"> New York: Springer.</w:t>
              </w:r>
            </w:p>
            <w:p w14:paraId="4386E566" w14:textId="07C985A2" w:rsidR="0097348D" w:rsidRDefault="0097348D" w:rsidP="0097348D">
              <w:r>
                <w:rPr>
                  <w:b/>
                  <w:bCs/>
                </w:rPr>
                <w:fldChar w:fldCharType="end"/>
              </w:r>
            </w:p>
          </w:sdtContent>
        </w:sdt>
      </w:sdtContent>
    </w:sdt>
    <w:p w14:paraId="0C1EA4C6" w14:textId="77777777" w:rsidR="0097348D" w:rsidRPr="00E50437" w:rsidRDefault="0097348D" w:rsidP="00E50437">
      <w:bookmarkStart w:id="0" w:name="_GoBack"/>
      <w:bookmarkEnd w:id="0"/>
    </w:p>
    <w:sectPr w:rsidR="0097348D" w:rsidRPr="00E50437" w:rsidSect="00D226D4">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F2675" w14:textId="77777777" w:rsidR="000232B5" w:rsidRDefault="000232B5" w:rsidP="009E6E1C">
      <w:pPr>
        <w:spacing w:after="0" w:line="240" w:lineRule="auto"/>
      </w:pPr>
      <w:r>
        <w:separator/>
      </w:r>
    </w:p>
  </w:endnote>
  <w:endnote w:type="continuationSeparator" w:id="0">
    <w:p w14:paraId="552B260F" w14:textId="77777777" w:rsidR="000232B5" w:rsidRDefault="000232B5" w:rsidP="009E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232824"/>
      <w:docPartObj>
        <w:docPartGallery w:val="Page Numbers (Bottom of Page)"/>
        <w:docPartUnique/>
      </w:docPartObj>
    </w:sdtPr>
    <w:sdtEndPr/>
    <w:sdtContent>
      <w:p w14:paraId="48FF654B" w14:textId="3FB66123" w:rsidR="00D226D4" w:rsidRDefault="00D226D4">
        <w:pPr>
          <w:pStyle w:val="Piedepgina"/>
          <w:jc w:val="right"/>
        </w:pPr>
        <w:r>
          <w:fldChar w:fldCharType="begin"/>
        </w:r>
        <w:r>
          <w:instrText>PAGE   \* MERGEFORMAT</w:instrText>
        </w:r>
        <w:r>
          <w:fldChar w:fldCharType="separate"/>
        </w:r>
        <w:r>
          <w:t>2</w:t>
        </w:r>
        <w:r>
          <w:fldChar w:fldCharType="end"/>
        </w:r>
      </w:p>
    </w:sdtContent>
  </w:sdt>
  <w:p w14:paraId="51857F00" w14:textId="77777777" w:rsidR="009E6E1C" w:rsidRDefault="009E6E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747029"/>
      <w:docPartObj>
        <w:docPartGallery w:val="Page Numbers (Bottom of Page)"/>
        <w:docPartUnique/>
      </w:docPartObj>
    </w:sdtPr>
    <w:sdtEndPr/>
    <w:sdtContent>
      <w:p w14:paraId="4528D9D0" w14:textId="5AFDC2A1" w:rsidR="00D226D4" w:rsidRDefault="00D226D4">
        <w:pPr>
          <w:pStyle w:val="Piedepgina"/>
          <w:jc w:val="right"/>
        </w:pPr>
        <w:r>
          <w:t>1</w:t>
        </w:r>
      </w:p>
    </w:sdtContent>
  </w:sdt>
  <w:p w14:paraId="6FA4D9CB" w14:textId="77777777" w:rsidR="00D226D4" w:rsidRDefault="00D22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0FE8" w14:textId="77777777" w:rsidR="000232B5" w:rsidRDefault="000232B5" w:rsidP="009E6E1C">
      <w:pPr>
        <w:spacing w:after="0" w:line="240" w:lineRule="auto"/>
      </w:pPr>
      <w:r>
        <w:separator/>
      </w:r>
    </w:p>
  </w:footnote>
  <w:footnote w:type="continuationSeparator" w:id="0">
    <w:p w14:paraId="2F7DD2A9" w14:textId="77777777" w:rsidR="000232B5" w:rsidRDefault="000232B5" w:rsidP="009E6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4697C" w14:textId="77777777" w:rsidR="00D226D4" w:rsidRDefault="00D226D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1E"/>
    <w:rsid w:val="00000CB4"/>
    <w:rsid w:val="000232B5"/>
    <w:rsid w:val="0008669D"/>
    <w:rsid w:val="000B3FF2"/>
    <w:rsid w:val="00140D57"/>
    <w:rsid w:val="001861A5"/>
    <w:rsid w:val="001F6A35"/>
    <w:rsid w:val="0020489A"/>
    <w:rsid w:val="0031081C"/>
    <w:rsid w:val="00325CD5"/>
    <w:rsid w:val="003B538F"/>
    <w:rsid w:val="0044465E"/>
    <w:rsid w:val="00503D89"/>
    <w:rsid w:val="005042E6"/>
    <w:rsid w:val="00594013"/>
    <w:rsid w:val="00596E1E"/>
    <w:rsid w:val="006123C8"/>
    <w:rsid w:val="00666E03"/>
    <w:rsid w:val="006E6F3B"/>
    <w:rsid w:val="007604B3"/>
    <w:rsid w:val="00763259"/>
    <w:rsid w:val="007B73E2"/>
    <w:rsid w:val="00806588"/>
    <w:rsid w:val="00836EA1"/>
    <w:rsid w:val="00836F4B"/>
    <w:rsid w:val="008B7430"/>
    <w:rsid w:val="008B794C"/>
    <w:rsid w:val="0097348D"/>
    <w:rsid w:val="00986E7A"/>
    <w:rsid w:val="009939FE"/>
    <w:rsid w:val="009E6E1C"/>
    <w:rsid w:val="00A867CD"/>
    <w:rsid w:val="00A93947"/>
    <w:rsid w:val="00AB7210"/>
    <w:rsid w:val="00B52CF4"/>
    <w:rsid w:val="00C25EE2"/>
    <w:rsid w:val="00C2693B"/>
    <w:rsid w:val="00C4797D"/>
    <w:rsid w:val="00C50A98"/>
    <w:rsid w:val="00C82575"/>
    <w:rsid w:val="00CF7CF8"/>
    <w:rsid w:val="00D226D4"/>
    <w:rsid w:val="00E50437"/>
    <w:rsid w:val="00EB5956"/>
    <w:rsid w:val="00F047BC"/>
    <w:rsid w:val="00F13B31"/>
    <w:rsid w:val="00F4011F"/>
    <w:rsid w:val="00F76F25"/>
    <w:rsid w:val="00F972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314A8"/>
  <w15:chartTrackingRefBased/>
  <w15:docId w15:val="{74C793F0-0AF5-4E1D-A9AE-50426BA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56"/>
    <w:pPr>
      <w:jc w:val="both"/>
    </w:pPr>
    <w:rPr>
      <w:rFonts w:ascii="Arial" w:hAnsi="Arial"/>
    </w:rPr>
  </w:style>
  <w:style w:type="paragraph" w:styleId="Ttulo1">
    <w:name w:val="heading 1"/>
    <w:basedOn w:val="Normal"/>
    <w:next w:val="Normal"/>
    <w:link w:val="Ttulo1Car"/>
    <w:uiPriority w:val="9"/>
    <w:qFormat/>
    <w:rsid w:val="008B794C"/>
    <w:pPr>
      <w:keepNext/>
      <w:keepLines/>
      <w:spacing w:before="240" w:after="24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A867CD"/>
    <w:pPr>
      <w:keepNext/>
      <w:keepLines/>
      <w:spacing w:before="40" w:after="4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4C"/>
    <w:rPr>
      <w:rFonts w:ascii="Arial" w:eastAsiaTheme="majorEastAsia" w:hAnsi="Arial" w:cstheme="majorBidi"/>
      <w:sz w:val="32"/>
      <w:szCs w:val="32"/>
    </w:rPr>
  </w:style>
  <w:style w:type="paragraph" w:styleId="Ttulo">
    <w:name w:val="Title"/>
    <w:basedOn w:val="Normal"/>
    <w:next w:val="Normal"/>
    <w:link w:val="TtuloCar"/>
    <w:uiPriority w:val="10"/>
    <w:qFormat/>
    <w:rsid w:val="008B794C"/>
    <w:pPr>
      <w:spacing w:after="0" w:line="240" w:lineRule="auto"/>
      <w:contextualSpacing/>
      <w:jc w:val="center"/>
    </w:pPr>
    <w:rPr>
      <w:rFonts w:eastAsiaTheme="majorEastAsia" w:cstheme="majorBidi"/>
      <w:spacing w:val="-10"/>
      <w:kern w:val="28"/>
      <w:sz w:val="40"/>
      <w:szCs w:val="56"/>
    </w:rPr>
  </w:style>
  <w:style w:type="character" w:customStyle="1" w:styleId="TtuloCar">
    <w:name w:val="Título Car"/>
    <w:basedOn w:val="Fuentedeprrafopredeter"/>
    <w:link w:val="Ttulo"/>
    <w:uiPriority w:val="10"/>
    <w:rsid w:val="008B794C"/>
    <w:rPr>
      <w:rFonts w:ascii="Arial" w:eastAsiaTheme="majorEastAsia" w:hAnsi="Arial" w:cstheme="majorBidi"/>
      <w:spacing w:val="-10"/>
      <w:kern w:val="28"/>
      <w:sz w:val="40"/>
      <w:szCs w:val="56"/>
    </w:rPr>
  </w:style>
  <w:style w:type="character" w:customStyle="1" w:styleId="Ttulo2Car">
    <w:name w:val="Título 2 Car"/>
    <w:basedOn w:val="Fuentedeprrafopredeter"/>
    <w:link w:val="Ttulo2"/>
    <w:uiPriority w:val="9"/>
    <w:rsid w:val="00A867CD"/>
    <w:rPr>
      <w:rFonts w:ascii="Arial" w:eastAsiaTheme="majorEastAsia" w:hAnsi="Arial" w:cstheme="majorBidi"/>
      <w:sz w:val="26"/>
      <w:szCs w:val="26"/>
    </w:rPr>
  </w:style>
  <w:style w:type="paragraph" w:styleId="Encabezado">
    <w:name w:val="header"/>
    <w:basedOn w:val="Normal"/>
    <w:link w:val="EncabezadoCar"/>
    <w:uiPriority w:val="99"/>
    <w:unhideWhenUsed/>
    <w:rsid w:val="009E6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E1C"/>
    <w:rPr>
      <w:rFonts w:ascii="Arial" w:hAnsi="Arial"/>
    </w:rPr>
  </w:style>
  <w:style w:type="paragraph" w:styleId="Piedepgina">
    <w:name w:val="footer"/>
    <w:basedOn w:val="Normal"/>
    <w:link w:val="PiedepginaCar"/>
    <w:uiPriority w:val="99"/>
    <w:unhideWhenUsed/>
    <w:rsid w:val="009E6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E1C"/>
    <w:rPr>
      <w:rFonts w:ascii="Arial" w:hAnsi="Arial"/>
    </w:rPr>
  </w:style>
  <w:style w:type="table" w:styleId="Tablaconcuadrcula">
    <w:name w:val="Table Grid"/>
    <w:basedOn w:val="Tablanormal"/>
    <w:uiPriority w:val="39"/>
    <w:rsid w:val="0050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123C8"/>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1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2272">
      <w:bodyDiv w:val="1"/>
      <w:marLeft w:val="0"/>
      <w:marRight w:val="0"/>
      <w:marTop w:val="0"/>
      <w:marBottom w:val="0"/>
      <w:divBdr>
        <w:top w:val="none" w:sz="0" w:space="0" w:color="auto"/>
        <w:left w:val="none" w:sz="0" w:space="0" w:color="auto"/>
        <w:bottom w:val="none" w:sz="0" w:space="0" w:color="auto"/>
        <w:right w:val="none" w:sz="0" w:space="0" w:color="auto"/>
      </w:divBdr>
    </w:div>
    <w:div w:id="1893690714">
      <w:bodyDiv w:val="1"/>
      <w:marLeft w:val="0"/>
      <w:marRight w:val="0"/>
      <w:marTop w:val="0"/>
      <w:marBottom w:val="0"/>
      <w:divBdr>
        <w:top w:val="none" w:sz="0" w:space="0" w:color="auto"/>
        <w:left w:val="none" w:sz="0" w:space="0" w:color="auto"/>
        <w:bottom w:val="none" w:sz="0" w:space="0" w:color="auto"/>
        <w:right w:val="none" w:sz="0" w:space="0" w:color="auto"/>
      </w:divBdr>
    </w:div>
    <w:div w:id="20198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Jam13</b:Tag>
    <b:SourceType>Book</b:SourceType>
    <b:Guid>{CA3FE7F0-8597-4D9E-B42D-F3CFFF1D7279}</b:Guid>
    <b:Author>
      <b:Author>
        <b:NameList>
          <b:Person>
            <b:Last>James</b:Last>
            <b:First>G</b:First>
          </b:Person>
          <b:Person>
            <b:Last>Witten</b:Last>
            <b:First>D</b:First>
          </b:Person>
          <b:Person>
            <b:Last>Hastie</b:Last>
            <b:First>T</b:First>
          </b:Person>
          <b:Person>
            <b:Last>Tibshirani</b:Last>
            <b:First>R</b:First>
          </b:Person>
        </b:NameList>
      </b:Author>
    </b:Author>
    <b:Title>An Introduction to Statistical Learning</b:Title>
    <b:Year>2013</b:Year>
    <b:City>New York</b:City>
    <b:Publisher>Springer</b:Publisher>
    <b:RefOrder>1</b:RefOrder>
  </b:Source>
</b:Sources>
</file>

<file path=customXml/itemProps1.xml><?xml version="1.0" encoding="utf-8"?>
<ds:datastoreItem xmlns:ds="http://schemas.openxmlformats.org/officeDocument/2006/customXml" ds:itemID="{BB7001C8-85AB-4588-9E80-6821256F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dc:creator>
  <cp:keywords/>
  <dc:description/>
  <cp:lastModifiedBy>Aller López, Beltrán</cp:lastModifiedBy>
  <cp:revision>34</cp:revision>
  <cp:lastPrinted>2019-11-24T15:47:00Z</cp:lastPrinted>
  <dcterms:created xsi:type="dcterms:W3CDTF">2019-11-24T12:51:00Z</dcterms:created>
  <dcterms:modified xsi:type="dcterms:W3CDTF">2019-11-24T15:47:00Z</dcterms:modified>
</cp:coreProperties>
</file>