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1E0" w:rsidRDefault="003201E0" w:rsidP="003201E0">
      <w:pPr>
        <w:pStyle w:val="Ttulo1"/>
        <w:rPr>
          <w:lang w:val="es-AR"/>
        </w:rPr>
      </w:pPr>
      <w:r>
        <w:rPr>
          <w:lang w:val="es-AR"/>
        </w:rPr>
        <w:t>TABLAS DE DECISIÓN</w:t>
      </w:r>
    </w:p>
    <w:p w:rsidR="003201E0" w:rsidRDefault="003201E0" w:rsidP="003201E0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3201E0">
        <w:rPr>
          <w:rFonts w:ascii="Arial" w:hAnsi="Arial" w:cs="Arial"/>
          <w:lang w:val="es-AR"/>
        </w:rPr>
        <w:t xml:space="preserve">Según </w:t>
      </w:r>
      <w:proofErr w:type="spellStart"/>
      <w:r w:rsidRPr="003201E0">
        <w:rPr>
          <w:rFonts w:ascii="Arial" w:hAnsi="Arial" w:cs="Arial"/>
          <w:lang w:val="es-AR"/>
        </w:rPr>
        <w:t>Pressman</w:t>
      </w:r>
      <w:proofErr w:type="spellEnd"/>
      <w:r w:rsidRPr="003201E0">
        <w:rPr>
          <w:rFonts w:ascii="Arial" w:hAnsi="Arial" w:cs="Arial"/>
          <w:lang w:val="es-AR"/>
        </w:rPr>
        <w:t xml:space="preserve">, las </w:t>
      </w:r>
      <w:r w:rsidRPr="003201E0">
        <w:rPr>
          <w:rStyle w:val="Textoennegrita"/>
          <w:rFonts w:ascii="Arial" w:eastAsiaTheme="majorEastAsia" w:hAnsi="Arial" w:cs="Arial"/>
          <w:lang w:val="es-AR"/>
        </w:rPr>
        <w:t>tablas de decisión</w:t>
      </w:r>
      <w:r w:rsidRPr="003201E0">
        <w:rPr>
          <w:rFonts w:ascii="Arial" w:hAnsi="Arial" w:cs="Arial"/>
          <w:lang w:val="es-AR"/>
        </w:rPr>
        <w:t xml:space="preserve"> son una técnica de modelado que permite</w:t>
      </w:r>
      <w:r w:rsidRPr="003201E0">
        <w:rPr>
          <w:rFonts w:ascii="Arial" w:hAnsi="Arial" w:cs="Arial"/>
          <w:b/>
          <w:lang w:val="es-AR"/>
        </w:rPr>
        <w:t xml:space="preserve"> </w:t>
      </w:r>
      <w:r w:rsidRPr="003201E0">
        <w:rPr>
          <w:rStyle w:val="Textoennegrita"/>
          <w:rFonts w:ascii="Arial" w:eastAsiaTheme="majorEastAsia" w:hAnsi="Arial" w:cs="Arial"/>
          <w:b w:val="0"/>
          <w:lang w:val="es-AR"/>
        </w:rPr>
        <w:t>representar de manera sistemática las diferentes condiciones de un problema y las acciones asociadas a cada combinación de dichas condiciones</w:t>
      </w:r>
      <w:r w:rsidRPr="003201E0">
        <w:rPr>
          <w:rFonts w:ascii="Arial" w:hAnsi="Arial" w:cs="Arial"/>
          <w:b/>
          <w:lang w:val="es-AR"/>
        </w:rPr>
        <w:t xml:space="preserve">, </w:t>
      </w:r>
      <w:r w:rsidRPr="003201E0">
        <w:rPr>
          <w:rFonts w:ascii="Arial" w:hAnsi="Arial" w:cs="Arial"/>
          <w:lang w:val="es-AR"/>
        </w:rPr>
        <w:t>facilitando la especificación clara y completa de la lógica del sistema.</w:t>
      </w:r>
    </w:p>
    <w:p w:rsidR="003201E0" w:rsidRDefault="003201E0" w:rsidP="003201E0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3201E0" w:rsidRPr="003201E0" w:rsidRDefault="003201E0" w:rsidP="003201E0">
      <w:pPr>
        <w:pStyle w:val="Ttulo2"/>
        <w:rPr>
          <w:lang w:val="es-AR"/>
        </w:rPr>
      </w:pPr>
      <w:r w:rsidRPr="003201E0">
        <w:rPr>
          <w:lang w:val="es-AR"/>
        </w:rPr>
        <w:t>Estructura de la Tabla</w:t>
      </w:r>
    </w:p>
    <w:p w:rsidR="003201E0" w:rsidRPr="003201E0" w:rsidRDefault="003201E0" w:rsidP="003201E0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3201E0">
        <w:rPr>
          <w:rFonts w:ascii="Arial" w:hAnsi="Arial" w:cs="Arial"/>
          <w:lang w:val="es-AR"/>
        </w:rPr>
        <w:t>La tabla se divide tradicionalmente en cuatro cuadrantes, que se analizan siguiendo el sentido de las manecillas del reloj partiendo desde la esquina superior izquierda</w:t>
      </w:r>
      <w:r w:rsidR="00795E46">
        <w:rPr>
          <w:rFonts w:ascii="Arial" w:hAnsi="Arial" w:cs="Arial"/>
          <w:lang w:val="es-AR"/>
        </w:rPr>
        <w:t>.</w:t>
      </w:r>
    </w:p>
    <w:p w:rsidR="003201E0" w:rsidRPr="003201E0" w:rsidRDefault="003201E0" w:rsidP="003201E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AR"/>
        </w:rPr>
      </w:pPr>
      <w:r w:rsidRPr="003201E0">
        <w:rPr>
          <w:rFonts w:ascii="Arial" w:hAnsi="Arial" w:cs="Arial"/>
          <w:lang w:val="es-AR"/>
        </w:rPr>
        <w:t>Cuadrante de Condiciones (Superior Izquierdo): Contiene la lista de factores o condiciones que afectan el proceso de decisión</w:t>
      </w:r>
    </w:p>
    <w:p w:rsidR="003201E0" w:rsidRPr="003201E0" w:rsidRDefault="003201E0" w:rsidP="003201E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AR"/>
        </w:rPr>
      </w:pPr>
      <w:r w:rsidRPr="003201E0">
        <w:rPr>
          <w:rFonts w:ascii="Arial" w:hAnsi="Arial" w:cs="Arial"/>
          <w:lang w:val="es-AR"/>
        </w:rPr>
        <w:t>Cuadrante de Alternativas de Condiciones (Superior Derecho): Indica los posibles valores o respuestas para cada condición (comúnmente "S" para sí, "N" para no, o valores específicos)</w:t>
      </w:r>
    </w:p>
    <w:p w:rsidR="003201E0" w:rsidRPr="003201E0" w:rsidRDefault="003201E0" w:rsidP="003201E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AR"/>
        </w:rPr>
      </w:pPr>
      <w:r w:rsidRPr="003201E0">
        <w:rPr>
          <w:rFonts w:ascii="Arial" w:hAnsi="Arial" w:cs="Arial"/>
          <w:lang w:val="es-AR"/>
        </w:rPr>
        <w:t>Cuadrante de Acciones (Inferior Izquierdo): Enumera todos los procedimientos o pasos que deben llevarse a cabo como resultado del análisis</w:t>
      </w:r>
    </w:p>
    <w:p w:rsidR="003201E0" w:rsidRDefault="003201E0" w:rsidP="003201E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AR"/>
        </w:rPr>
      </w:pPr>
      <w:r w:rsidRPr="003201E0">
        <w:rPr>
          <w:rFonts w:ascii="Arial" w:hAnsi="Arial" w:cs="Arial"/>
          <w:lang w:val="es-AR"/>
        </w:rPr>
        <w:t>Cuadrante de Reglas de Acción (Inferior Derecho): Muestra qué combinaciones de alternativas de condiciones disparan acciones específicas, marcándolas generalmente con una "X"</w:t>
      </w:r>
    </w:p>
    <w:p w:rsidR="00BC4228" w:rsidRDefault="00BC4228" w:rsidP="00BC4228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BC4228" w:rsidRDefault="00BC4228" w:rsidP="00BC4228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BC4228" w:rsidRDefault="00BC4228" w:rsidP="00BC4228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BC4228" w:rsidRDefault="00BC4228" w:rsidP="00BC4228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BC4228" w:rsidRDefault="00090621" w:rsidP="00090621">
      <w:pPr>
        <w:pStyle w:val="Ttulo2"/>
        <w:rPr>
          <w:lang w:val="es-AR"/>
        </w:rPr>
      </w:pPr>
      <w:r>
        <w:rPr>
          <w:lang w:val="es-AR"/>
        </w:rPr>
        <w:lastRenderedPageBreak/>
        <w:t>Diagrama:</w:t>
      </w:r>
    </w:p>
    <w:p w:rsidR="00BC4228" w:rsidRDefault="00BC4228" w:rsidP="0061651A">
      <w:pPr>
        <w:pStyle w:val="NormalWeb"/>
        <w:spacing w:line="360" w:lineRule="auto"/>
        <w:jc w:val="center"/>
        <w:rPr>
          <w:rFonts w:ascii="Arial" w:hAnsi="Arial" w:cs="Arial"/>
          <w:lang w:val="es-AR"/>
        </w:rPr>
      </w:pPr>
      <w:r w:rsidRPr="00BC4228">
        <w:rPr>
          <w:rFonts w:ascii="Arial" w:hAnsi="Arial" w:cs="Arial"/>
          <w:lang w:val="es-AR"/>
        </w:rPr>
        <w:drawing>
          <wp:inline distT="0" distB="0" distL="0" distR="0" wp14:anchorId="2A5AB501" wp14:editId="70BFBED7">
            <wp:extent cx="4810796" cy="193384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7A0" w:rsidRDefault="002937A0" w:rsidP="0061651A">
      <w:pPr>
        <w:pStyle w:val="NormalWeb"/>
        <w:spacing w:line="360" w:lineRule="auto"/>
        <w:jc w:val="center"/>
        <w:rPr>
          <w:rFonts w:ascii="Arial" w:hAnsi="Arial" w:cs="Arial"/>
          <w:lang w:val="es-AR"/>
        </w:rPr>
      </w:pPr>
      <w:r w:rsidRPr="002937A0">
        <w:rPr>
          <w:rFonts w:ascii="Arial" w:hAnsi="Arial" w:cs="Arial"/>
          <w:lang w:val="es-AR"/>
        </w:rPr>
        <w:drawing>
          <wp:inline distT="0" distB="0" distL="0" distR="0" wp14:anchorId="13CF2FA6" wp14:editId="235D91A9">
            <wp:extent cx="4458322" cy="21148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7A0" w:rsidRDefault="002937A0" w:rsidP="00BC4228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51261B" w:rsidRPr="0051261B" w:rsidRDefault="0051261B" w:rsidP="0051261B">
      <w:pPr>
        <w:pStyle w:val="Ttulo1"/>
        <w:rPr>
          <w:lang w:val="es-AR"/>
        </w:rPr>
      </w:pPr>
      <w:r w:rsidRPr="0051261B">
        <w:rPr>
          <w:lang w:val="es-AR"/>
        </w:rPr>
        <w:t>Proceso de Desarrollo</w:t>
      </w:r>
    </w:p>
    <w:p w:rsidR="0051261B" w:rsidRPr="0051261B" w:rsidRDefault="0051261B" w:rsidP="0051261B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51261B">
        <w:rPr>
          <w:rFonts w:ascii="Arial" w:hAnsi="Arial" w:cs="Arial"/>
          <w:lang w:val="es-AR"/>
        </w:rPr>
        <w:t>Para construir una tabla de decisión efectiva, el analista debe seguir una serie de pasos sistemáticos:</w:t>
      </w:r>
    </w:p>
    <w:p w:rsidR="0051261B" w:rsidRPr="0051261B" w:rsidRDefault="0051261B" w:rsidP="0051261B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51261B">
        <w:rPr>
          <w:rFonts w:ascii="Arial" w:hAnsi="Arial" w:cs="Arial"/>
          <w:lang w:val="es-AR"/>
        </w:rPr>
        <w:t>Identificar condiciones y acciones: Determinar todos los factores relevantes y las respuestas posibles</w:t>
      </w:r>
      <w:r w:rsidR="002937A0">
        <w:rPr>
          <w:rFonts w:ascii="Arial" w:hAnsi="Arial" w:cs="Arial"/>
          <w:lang w:val="es-AR"/>
        </w:rPr>
        <w:t>.</w:t>
      </w:r>
    </w:p>
    <w:p w:rsidR="0051261B" w:rsidRPr="0051261B" w:rsidRDefault="0051261B" w:rsidP="0051261B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51261B">
        <w:rPr>
          <w:rFonts w:ascii="Arial" w:hAnsi="Arial" w:cs="Arial"/>
          <w:lang w:val="es-AR"/>
        </w:rPr>
        <w:t>Calcular el tamaño máximo: El número de columnas (reglas) se determina multiplicando el número de alternativas de cada condición (por ejemplo, si hay 4 condiciones con 2 alternativas cada una, habrá 16 columnas)</w:t>
      </w:r>
      <w:r w:rsidR="002937A0">
        <w:rPr>
          <w:rFonts w:ascii="Arial" w:hAnsi="Arial" w:cs="Arial"/>
          <w:lang w:val="es-AR"/>
        </w:rPr>
        <w:t>.</w:t>
      </w:r>
    </w:p>
    <w:p w:rsidR="0051261B" w:rsidRDefault="0051261B" w:rsidP="0051261B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51261B">
        <w:rPr>
          <w:rFonts w:ascii="Arial" w:hAnsi="Arial" w:cs="Arial"/>
          <w:lang w:val="es-AR"/>
        </w:rPr>
        <w:lastRenderedPageBreak/>
        <w:t>Completar y simplificar: Se insertan las marcas de acción y luego se combinan las reglas redundantes. Cuando una alternativa no influye en el resultado, se representa con un guion [—], que significa que la condición puede ser indistinta</w:t>
      </w:r>
    </w:p>
    <w:p w:rsidR="002937A0" w:rsidRDefault="002937A0" w:rsidP="0051261B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A60D0E" w:rsidRDefault="00A60D0E" w:rsidP="00A60D0E">
      <w:pPr>
        <w:pStyle w:val="Ttulo1"/>
        <w:rPr>
          <w:lang w:val="es-AR"/>
        </w:rPr>
      </w:pPr>
      <w:r>
        <w:rPr>
          <w:lang w:val="es-AR"/>
        </w:rPr>
        <w:t>TIPOS DE TABLAS DE DECISION</w:t>
      </w:r>
    </w:p>
    <w:p w:rsidR="00A60D0E" w:rsidRPr="00A60D0E" w:rsidRDefault="00A60D0E" w:rsidP="00201BD5">
      <w:pPr>
        <w:pStyle w:val="Ttulo1"/>
        <w:rPr>
          <w:lang w:val="es-AR"/>
        </w:rPr>
      </w:pPr>
      <w:r w:rsidRPr="00A60D0E">
        <w:rPr>
          <w:lang w:val="es-AR"/>
        </w:rPr>
        <w:t>1. Tablas de Entrada Limitada (</w:t>
      </w:r>
      <w:proofErr w:type="spellStart"/>
      <w:r w:rsidRPr="00A60D0E">
        <w:rPr>
          <w:lang w:val="es-AR"/>
        </w:rPr>
        <w:t>Limited</w:t>
      </w:r>
      <w:proofErr w:type="spellEnd"/>
      <w:r w:rsidRPr="00A60D0E">
        <w:rPr>
          <w:lang w:val="es-AR"/>
        </w:rPr>
        <w:t xml:space="preserve"> </w:t>
      </w:r>
      <w:proofErr w:type="spellStart"/>
      <w:r w:rsidRPr="00A60D0E">
        <w:rPr>
          <w:lang w:val="es-AR"/>
        </w:rPr>
        <w:t>Entry</w:t>
      </w:r>
      <w:proofErr w:type="spellEnd"/>
      <w:r w:rsidRPr="00A60D0E">
        <w:rPr>
          <w:lang w:val="es-AR"/>
        </w:rPr>
        <w:t>)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Es la forma más simple y común de una tabla de decisión.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Condiciones: Las alternativas se limitan estrictamente a valores binarios, generalmente representados por "S" (Sí/Verdadero) o "N" (No/Falso).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Acciones: Se marcan con una "X" para indicar que el procedimiento debe ejecutarse, o se dejan en blanco si no debe realizarse.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795E46">
        <w:rPr>
          <w:rFonts w:ascii="Arial" w:hAnsi="Arial" w:cs="Arial"/>
          <w:b/>
          <w:lang w:val="es-AR"/>
        </w:rPr>
        <w:t>Uso:</w:t>
      </w:r>
      <w:r w:rsidRPr="00A60D0E">
        <w:rPr>
          <w:rFonts w:ascii="Arial" w:hAnsi="Arial" w:cs="Arial"/>
          <w:lang w:val="es-AR"/>
        </w:rPr>
        <w:t xml:space="preserve"> Son ideales para decisiones lógicas sencillas donde los factores son del tipo "se cumple o no se cumple"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A60D0E" w:rsidRPr="00A60D0E" w:rsidRDefault="00A60D0E" w:rsidP="00201BD5">
      <w:pPr>
        <w:pStyle w:val="Ttulo1"/>
        <w:rPr>
          <w:lang w:val="es-AR"/>
        </w:rPr>
      </w:pPr>
      <w:r w:rsidRPr="00A60D0E">
        <w:rPr>
          <w:lang w:val="es-AR"/>
        </w:rPr>
        <w:t xml:space="preserve">2. Tablas de Entrada Extendida (Extended </w:t>
      </w:r>
      <w:proofErr w:type="spellStart"/>
      <w:r w:rsidRPr="00A60D0E">
        <w:rPr>
          <w:lang w:val="es-AR"/>
        </w:rPr>
        <w:t>Entry</w:t>
      </w:r>
      <w:proofErr w:type="spellEnd"/>
      <w:r w:rsidRPr="00A60D0E">
        <w:rPr>
          <w:lang w:val="es-AR"/>
        </w:rPr>
        <w:t>)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Estas tablas se utilizan cuando las condiciones o acciones tienen más de dos valores posibles</w:t>
      </w:r>
      <w:r w:rsidR="002937A0">
        <w:rPr>
          <w:rFonts w:ascii="Arial" w:hAnsi="Arial" w:cs="Arial"/>
          <w:lang w:val="es-AR"/>
        </w:rPr>
        <w:t>.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Condiciones: En lugar de "S" o "N", el cuadrante de alternativas de condiciones contiene valores o rangos específicos (por ejemplo, "Menos de $100", "Entre $100 y $1000", "Más de $1000")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Acciones: Las entradas de acción también pueden describir procedimientos específicos o valores calculados en lugar de una simple marca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lastRenderedPageBreak/>
        <w:t>Ventaja: Permiten que la tabla sea más compacta al reducir el número de filas de condiciones necesarias para representar un problema complejo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.</w:t>
      </w:r>
    </w:p>
    <w:p w:rsidR="00A60D0E" w:rsidRPr="00A60D0E" w:rsidRDefault="00201BD5" w:rsidP="00201BD5">
      <w:pPr>
        <w:pStyle w:val="Ttulo1"/>
        <w:rPr>
          <w:lang w:val="es-AR"/>
        </w:rPr>
      </w:pPr>
      <w:r>
        <w:rPr>
          <w:lang w:val="es-AR"/>
        </w:rPr>
        <w:t xml:space="preserve">3. </w:t>
      </w:r>
      <w:r w:rsidR="00A60D0E" w:rsidRPr="00A60D0E">
        <w:rPr>
          <w:lang w:val="es-AR"/>
        </w:rPr>
        <w:t>Tabla Mixta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Una tabla de decisión de entrada mixta es aquella en la que: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Algunas filas de condiciones utilizan el formato de entrada limitada (binario S/N).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Otras filas dentro de la misma tabla utilizan el formato de entrada extendida (múltiples valores específicos)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.Consideraciones para su Desarrollo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Al trabajar con estos formatos, el analista debe tener en cuenta lo siguiente: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Integridad y Precisión: Es vital asegurar que se incluyan todos los valores posibles en las entradas extendidas para evitar que la tabla esté incompleta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. Por ejemplo, si se define un rango de $1</w:t>
      </w:r>
      <w:bookmarkStart w:id="0" w:name="_GoBack"/>
      <w:bookmarkEnd w:id="0"/>
      <w:r w:rsidRPr="00A60D0E">
        <w:rPr>
          <w:rFonts w:ascii="Arial" w:hAnsi="Arial" w:cs="Arial"/>
          <w:lang w:val="es-AR"/>
        </w:rPr>
        <w:t>00 a $1000, también debe incluirse el rango de 0 a $100 si existen reglas aplicables a este último.</w:t>
      </w:r>
    </w:p>
    <w:p w:rsidR="00A60D0E" w:rsidRPr="00A60D0E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Simplificación: Se pueden combinar reglas redundantes utilizando un guion [—], que indica que una alternativa (sea limitada o extendida) es indiferente para el resultado de esa regla específica.</w:t>
      </w:r>
    </w:p>
    <w:p w:rsidR="002937A0" w:rsidRDefault="00A60D0E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  <w:r w:rsidRPr="00A60D0E">
        <w:rPr>
          <w:rFonts w:ascii="Arial" w:hAnsi="Arial" w:cs="Arial"/>
          <w:lang w:val="es-AR"/>
        </w:rPr>
        <w:t>Detección de Errores: Al mezclar tipos de entrada, aumenta el riesgo de situaciones imposibles o contradicciones (reglas idénticas con acciones distintas), por lo que se requiere una verificación rigurosa de la lógica</w:t>
      </w:r>
      <w:r w:rsidR="00201BD5">
        <w:rPr>
          <w:rFonts w:ascii="Arial" w:hAnsi="Arial" w:cs="Arial"/>
          <w:lang w:val="es-AR"/>
        </w:rPr>
        <w:t>.</w:t>
      </w:r>
    </w:p>
    <w:p w:rsidR="002937A0" w:rsidRPr="003201E0" w:rsidRDefault="002937A0" w:rsidP="00A60D0E">
      <w:pPr>
        <w:pStyle w:val="NormalWeb"/>
        <w:spacing w:line="360" w:lineRule="auto"/>
        <w:jc w:val="both"/>
        <w:rPr>
          <w:rFonts w:ascii="Arial" w:hAnsi="Arial" w:cs="Arial"/>
          <w:lang w:val="es-AR"/>
        </w:rPr>
      </w:pPr>
    </w:p>
    <w:p w:rsidR="0083198F" w:rsidRPr="003201E0" w:rsidRDefault="008660DC">
      <w:pPr>
        <w:rPr>
          <w:lang w:val="es-AR"/>
        </w:rPr>
      </w:pPr>
    </w:p>
    <w:sectPr w:rsidR="0083198F" w:rsidRPr="003201E0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60DC" w:rsidRDefault="008660DC" w:rsidP="00A92965">
      <w:pPr>
        <w:spacing w:after="0" w:line="240" w:lineRule="auto"/>
      </w:pPr>
      <w:r>
        <w:separator/>
      </w:r>
    </w:p>
  </w:endnote>
  <w:endnote w:type="continuationSeparator" w:id="0">
    <w:p w:rsidR="008660DC" w:rsidRDefault="008660DC" w:rsidP="00A92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2965" w:rsidRDefault="00A92965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201BD5" w:rsidRPr="00201BD5">
      <w:rPr>
        <w:caps/>
        <w:noProof/>
        <w:color w:val="5B9BD5" w:themeColor="accent1"/>
        <w:lang w:val="es-ES"/>
      </w:rPr>
      <w:t>4</w:t>
    </w:r>
    <w:r>
      <w:rPr>
        <w:caps/>
        <w:color w:val="5B9BD5" w:themeColor="accent1"/>
      </w:rPr>
      <w:fldChar w:fldCharType="end"/>
    </w:r>
  </w:p>
  <w:p w:rsidR="00A92965" w:rsidRDefault="00A9296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60DC" w:rsidRDefault="008660DC" w:rsidP="00A92965">
      <w:pPr>
        <w:spacing w:after="0" w:line="240" w:lineRule="auto"/>
      </w:pPr>
      <w:r>
        <w:separator/>
      </w:r>
    </w:p>
  </w:footnote>
  <w:footnote w:type="continuationSeparator" w:id="0">
    <w:p w:rsidR="008660DC" w:rsidRDefault="008660DC" w:rsidP="00A92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2965" w:rsidRPr="00A92965" w:rsidRDefault="00A92965">
    <w:pPr>
      <w:pStyle w:val="Encabezado"/>
      <w:rPr>
        <w:lang w:val="es-ES"/>
      </w:rPr>
    </w:pPr>
    <w:r>
      <w:rPr>
        <w:lang w:val="es-ES"/>
      </w:rPr>
      <w:t xml:space="preserve">Ingeniería de Software I – </w:t>
    </w:r>
    <w:proofErr w:type="spellStart"/>
    <w:r>
      <w:rPr>
        <w:lang w:val="es-ES"/>
      </w:rPr>
      <w:t>FCyT</w:t>
    </w:r>
    <w:proofErr w:type="spellEnd"/>
    <w:r>
      <w:rPr>
        <w:lang w:val="es-ES"/>
      </w:rPr>
      <w:t xml:space="preserve">                                                                                               Año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E21BCE"/>
    <w:multiLevelType w:val="hybridMultilevel"/>
    <w:tmpl w:val="A878B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E0"/>
    <w:rsid w:val="00090621"/>
    <w:rsid w:val="001E6958"/>
    <w:rsid w:val="00201BD5"/>
    <w:rsid w:val="002937A0"/>
    <w:rsid w:val="002D1146"/>
    <w:rsid w:val="003201E0"/>
    <w:rsid w:val="0051261B"/>
    <w:rsid w:val="0061651A"/>
    <w:rsid w:val="00795E46"/>
    <w:rsid w:val="008660DC"/>
    <w:rsid w:val="00A60D0E"/>
    <w:rsid w:val="00A92965"/>
    <w:rsid w:val="00BC34E7"/>
    <w:rsid w:val="00BC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AC2943-C603-434C-A032-5EF50519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01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01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2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201E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3201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201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26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929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965"/>
  </w:style>
  <w:style w:type="paragraph" w:styleId="Piedepgina">
    <w:name w:val="footer"/>
    <w:basedOn w:val="Normal"/>
    <w:link w:val="PiedepginaCar"/>
    <w:uiPriority w:val="99"/>
    <w:unhideWhenUsed/>
    <w:rsid w:val="00A929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8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31521900</cp:lastModifiedBy>
  <cp:revision>4</cp:revision>
  <dcterms:created xsi:type="dcterms:W3CDTF">2026-03-27T11:45:00Z</dcterms:created>
  <dcterms:modified xsi:type="dcterms:W3CDTF">2026-03-27T11:46:00Z</dcterms:modified>
</cp:coreProperties>
</file>