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00150" cy="1200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66CC"/>
          <w:sz w:val="52"/>
        </w:rPr>
        <w:t>Micro-Influencer Referral Agreement</w:t>
      </w:r>
    </w:p>
    <w:p>
      <w:pPr>
        <w:autoSpaceDN w:val="0"/>
        <w:autoSpaceDE w:val="0"/>
        <w:widowControl/>
        <w:spacing w:line="238" w:lineRule="auto" w:before="412" w:after="0"/>
        <w:ind w:left="36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This Agreement is made on this ___ day of __________, 2025, </w:t>
      </w:r>
    </w:p>
    <w:p>
      <w:pPr>
        <w:autoSpaceDN w:val="0"/>
        <w:autoSpaceDE w:val="0"/>
        <w:widowControl/>
        <w:spacing w:line="238" w:lineRule="auto" w:before="242" w:after="0"/>
        <w:ind w:left="36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BETWEEN </w:t>
      </w:r>
    </w:p>
    <w:p>
      <w:pPr>
        <w:autoSpaceDN w:val="0"/>
        <w:autoSpaceDE w:val="0"/>
        <w:widowControl/>
        <w:spacing w:line="269" w:lineRule="auto" w:before="244" w:after="0"/>
        <w:ind w:left="3168" w:right="3168" w:firstLine="0"/>
        <w:jc w:val="center"/>
      </w:pPr>
      <w:r>
        <w:rPr>
          <w:rFonts w:ascii="Century Gothic" w:hAnsi="Century Gothic" w:eastAsia="Century Gothic"/>
          <w:b/>
          <w:i w:val="0"/>
          <w:color w:val="000000"/>
          <w:sz w:val="22"/>
        </w:rPr>
        <w:t xml:space="preserve">Bematore Technologies Ltd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P.o Box 21595 Nairobi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Telephone: +254728996670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>Email: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 </w:t>
      </w:r>
      <w:r>
        <w:rPr>
          <w:rFonts w:ascii="Century Gothic" w:hAnsi="Century Gothic" w:eastAsia="Century Gothic"/>
          <w:b w:val="0"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 xml:space="preserve">info@bematore.com </w:t>
          </w:r>
        </w:hyperlink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(the Company) </w:t>
      </w:r>
    </w:p>
    <w:p>
      <w:pPr>
        <w:autoSpaceDN w:val="0"/>
        <w:autoSpaceDE w:val="0"/>
        <w:widowControl/>
        <w:spacing w:line="238" w:lineRule="auto" w:before="552" w:after="0"/>
        <w:ind w:left="0" w:right="0" w:firstLine="0"/>
        <w:jc w:val="center"/>
      </w:pPr>
      <w:r>
        <w:rPr>
          <w:rFonts w:ascii="Century Gothic" w:hAnsi="Century Gothic" w:eastAsia="Century Gothic"/>
          <w:b/>
          <w:i w:val="0"/>
          <w:color w:val="000000"/>
          <w:sz w:val="22"/>
        </w:rPr>
        <w:t xml:space="preserve">AND </w:t>
      </w:r>
    </w:p>
    <w:p>
      <w:pPr>
        <w:autoSpaceDN w:val="0"/>
        <w:autoSpaceDE w:val="0"/>
        <w:widowControl/>
        <w:spacing w:line="238" w:lineRule="auto" w:before="244" w:after="0"/>
        <w:ind w:left="0" w:right="0" w:firstLine="0"/>
        <w:jc w:val="center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Influencer’s Full Name: </w:t>
      </w:r>
    </w:p>
    <w:p>
      <w:pPr>
        <w:autoSpaceDN w:val="0"/>
        <w:autoSpaceDE w:val="0"/>
        <w:widowControl/>
        <w:spacing w:line="238" w:lineRule="auto" w:before="240" w:after="0"/>
        <w:ind w:left="0" w:right="0" w:firstLine="0"/>
        <w:jc w:val="center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Influencer’s Contacts: </w:t>
      </w:r>
    </w:p>
    <w:p>
      <w:pPr>
        <w:autoSpaceDN w:val="0"/>
        <w:autoSpaceDE w:val="0"/>
        <w:widowControl/>
        <w:spacing w:line="238" w:lineRule="auto" w:before="246" w:after="0"/>
        <w:ind w:left="0" w:right="0" w:firstLine="0"/>
        <w:jc w:val="center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(“the Influencer”). </w:t>
      </w:r>
    </w:p>
    <w:p>
      <w:pPr>
        <w:autoSpaceDN w:val="0"/>
        <w:autoSpaceDE w:val="0"/>
        <w:widowControl/>
        <w:spacing w:line="266" w:lineRule="auto" w:before="520" w:after="0"/>
        <w:ind w:left="360" w:right="288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 xml:space="preserve">1. Purpose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The Company wishes to engage the Influencer to promote the Bematore App to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their audience, with the goal of driving complete mental health test completions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>on the platform through the Influencer’s referral code.</w:t>
      </w:r>
    </w:p>
    <w:p>
      <w:pPr>
        <w:autoSpaceDN w:val="0"/>
        <w:autoSpaceDE w:val="0"/>
        <w:widowControl/>
        <w:spacing w:line="262" w:lineRule="auto" w:before="354" w:after="0"/>
        <w:ind w:left="360" w:right="394" w:firstLine="0"/>
        <w:jc w:val="both"/>
      </w:pPr>
      <w:r>
        <w:rPr>
          <w:rFonts w:ascii="Century Gothic" w:hAnsi="Century Gothic" w:eastAsia="Century Gothic"/>
          <w:b w:val="0"/>
          <w:i/>
          <w:color w:val="000000"/>
          <w:sz w:val="22"/>
        </w:rPr>
        <w:t xml:space="preserve">The Bematore App is currently available for download on the Google Play Store, </w:t>
      </w:r>
      <w:r>
        <w:rPr>
          <w:rFonts w:ascii="Century Gothic" w:hAnsi="Century Gothic" w:eastAsia="Century Gothic"/>
          <w:b w:val="0"/>
          <w:i/>
          <w:color w:val="000000"/>
          <w:sz w:val="22"/>
        </w:rPr>
        <w:t xml:space="preserve">enabling users to access its mental health assessments and services directly from </w:t>
      </w:r>
      <w:r>
        <w:rPr>
          <w:rFonts w:ascii="Century Gothic" w:hAnsi="Century Gothic" w:eastAsia="Century Gothic"/>
          <w:b w:val="0"/>
          <w:i/>
          <w:color w:val="000000"/>
          <w:sz w:val="22"/>
        </w:rPr>
        <w:t>their mobile devices.</w:t>
      </w:r>
    </w:p>
    <w:p>
      <w:pPr>
        <w:autoSpaceDN w:val="0"/>
        <w:autoSpaceDE w:val="0"/>
        <w:widowControl/>
        <w:spacing w:line="264" w:lineRule="auto" w:before="526" w:after="0"/>
        <w:ind w:left="360" w:right="1008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>2. Scope of Engagement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- Promote the Bematore App via their social media platforms and/or other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agreed channels. </w:t>
      </w:r>
    </w:p>
    <w:p>
      <w:pPr>
        <w:sectPr>
          <w:pgSz w:w="12240" w:h="15840"/>
          <w:pgMar w:top="720" w:right="1440" w:bottom="9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36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- Use and share a unique referral code provided by the Company. </w:t>
      </w:r>
    </w:p>
    <w:p>
      <w:pPr>
        <w:autoSpaceDN w:val="0"/>
        <w:autoSpaceDE w:val="0"/>
        <w:widowControl/>
        <w:spacing w:line="238" w:lineRule="auto" w:before="246" w:after="0"/>
        <w:ind w:left="36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- Ensure the referral code is communicated clearly to their audience. </w:t>
      </w:r>
    </w:p>
    <w:p>
      <w:pPr>
        <w:autoSpaceDN w:val="0"/>
        <w:autoSpaceDE w:val="0"/>
        <w:widowControl/>
        <w:spacing w:line="238" w:lineRule="auto" w:before="242" w:after="0"/>
        <w:ind w:left="36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- Avoid any false, misleading, or unethical marketing practices. </w:t>
      </w:r>
    </w:p>
    <w:p>
      <w:pPr>
        <w:autoSpaceDN w:val="0"/>
        <w:autoSpaceDE w:val="0"/>
        <w:widowControl/>
        <w:spacing w:line="257" w:lineRule="auto" w:before="526" w:after="0"/>
        <w:ind w:left="360" w:right="576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 xml:space="preserve">3. Payment Terms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The Influencer shall be paid KES 25,000 for every 500 unique referred users who: </w:t>
      </w:r>
    </w:p>
    <w:p>
      <w:pPr>
        <w:autoSpaceDN w:val="0"/>
        <w:autoSpaceDE w:val="0"/>
        <w:widowControl/>
        <w:spacing w:line="238" w:lineRule="auto" w:before="246" w:after="0"/>
        <w:ind w:left="48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 - Sign up for the Bematore App, AND </w:t>
      </w:r>
    </w:p>
    <w:p>
      <w:pPr>
        <w:autoSpaceDN w:val="0"/>
        <w:autoSpaceDE w:val="0"/>
        <w:widowControl/>
        <w:spacing w:line="238" w:lineRule="auto" w:before="242" w:after="0"/>
        <w:ind w:left="48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 - Complete a full mental health test on the platform. </w:t>
      </w:r>
    </w:p>
    <w:p>
      <w:pPr>
        <w:autoSpaceDN w:val="0"/>
        <w:autoSpaceDE w:val="0"/>
        <w:widowControl/>
        <w:spacing w:line="259" w:lineRule="auto" w:before="246" w:after="0"/>
        <w:ind w:left="360" w:right="576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Payments will be made immediately upon confirmation that the Influencer has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achieved 500 completed referrals. </w:t>
      </w:r>
    </w:p>
    <w:p>
      <w:pPr>
        <w:autoSpaceDN w:val="0"/>
        <w:autoSpaceDE w:val="0"/>
        <w:widowControl/>
        <w:spacing w:line="259" w:lineRule="auto" w:before="240" w:after="0"/>
        <w:ind w:left="360" w:right="288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If the number of completed tests is less than 500 at any given time, the balance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will be carried forward until it reaches the 500-completion threshold for payment. </w:t>
      </w:r>
    </w:p>
    <w:p>
      <w:pPr>
        <w:autoSpaceDN w:val="0"/>
        <w:autoSpaceDE w:val="0"/>
        <w:widowControl/>
        <w:spacing w:line="238" w:lineRule="auto" w:before="240" w:after="0"/>
        <w:ind w:left="36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The Company’s verification of completions is final and binding. </w:t>
      </w:r>
    </w:p>
    <w:p>
      <w:pPr>
        <w:autoSpaceDN w:val="0"/>
        <w:autoSpaceDE w:val="0"/>
        <w:widowControl/>
        <w:spacing w:line="264" w:lineRule="auto" w:before="524" w:after="0"/>
        <w:ind w:left="360" w:right="1296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>4. Tracking &amp; Verification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- Referrals will be tracked using the unique referral code assigned to the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Influencer. </w:t>
      </w:r>
    </w:p>
    <w:p>
      <w:pPr>
        <w:autoSpaceDN w:val="0"/>
        <w:autoSpaceDE w:val="0"/>
        <w:widowControl/>
        <w:spacing w:line="238" w:lineRule="auto" w:before="244" w:after="0"/>
        <w:ind w:left="360" w:right="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- Only referrals recorded through the system will be eligible for payment. </w:t>
      </w:r>
    </w:p>
    <w:p>
      <w:pPr>
        <w:autoSpaceDN w:val="0"/>
        <w:autoSpaceDE w:val="0"/>
        <w:widowControl/>
        <w:spacing w:line="257" w:lineRule="auto" w:before="242" w:after="0"/>
        <w:ind w:left="360" w:right="720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- The Company will provide the Influencer with updated referral counts upon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request. </w:t>
      </w:r>
    </w:p>
    <w:p>
      <w:pPr>
        <w:autoSpaceDN w:val="0"/>
        <w:autoSpaceDE w:val="0"/>
        <w:widowControl/>
        <w:spacing w:line="271" w:lineRule="auto" w:before="520" w:after="0"/>
        <w:ind w:left="360" w:right="288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 xml:space="preserve">5. Term &amp; Termination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This Agreement shall commence on the Commencement Date and continue for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an initial period of three (3) months, renewable by mutual agreement. Either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party may terminate this Agreement with 14 days’ written notice. The Company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may terminate immediately if the Influencer engages in conduct that damages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the Company’s reputation, breaches this Agreement, or provides false or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misleading information. </w:t>
      </w:r>
    </w:p>
    <w:p>
      <w:pPr>
        <w:sectPr>
          <w:pgSz w:w="12240" w:h="15840"/>
          <w:pgMar w:top="722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360" w:right="288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 xml:space="preserve">6. Intellectual Property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The Influencer is granted a non-exclusive, non-transferable license to use the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Company’s trademarks, logos, and promotional materials solely for the purposes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of fulfilling this Agreement. </w:t>
      </w:r>
    </w:p>
    <w:p>
      <w:pPr>
        <w:autoSpaceDN w:val="0"/>
        <w:autoSpaceDE w:val="0"/>
        <w:widowControl/>
        <w:spacing w:line="266" w:lineRule="auto" w:before="522" w:after="0"/>
        <w:ind w:left="360" w:right="288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 xml:space="preserve">7. Confidentiality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The Influencer agrees to keep confidential any non-public information obtained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from the Company, including but not limited to marketing strategies, referral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data, and payment details. </w:t>
      </w:r>
    </w:p>
    <w:p>
      <w:pPr>
        <w:autoSpaceDN w:val="0"/>
        <w:autoSpaceDE w:val="0"/>
        <w:widowControl/>
        <w:spacing w:line="266" w:lineRule="auto" w:before="246" w:after="0"/>
        <w:ind w:left="360" w:right="288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 xml:space="preserve">8. Independent Contractor Status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The Influencer is an independent contractor, not an employee, agent, or partner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of the Company. The Influencer is solely responsible for their own taxes and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statutory contributions. </w:t>
      </w:r>
    </w:p>
    <w:p>
      <w:pPr>
        <w:autoSpaceDN w:val="0"/>
        <w:autoSpaceDE w:val="0"/>
        <w:widowControl/>
        <w:spacing w:line="264" w:lineRule="auto" w:before="524" w:after="0"/>
        <w:ind w:left="360" w:right="720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 xml:space="preserve">9. Governing Law </w:t>
      </w:r>
      <w:r>
        <w:br/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This Agreement shall be governed by and construed in accordance with the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laws of Kenya. </w:t>
      </w:r>
    </w:p>
    <w:p>
      <w:pPr>
        <w:autoSpaceDN w:val="0"/>
        <w:autoSpaceDE w:val="0"/>
        <w:widowControl/>
        <w:spacing w:line="238" w:lineRule="auto" w:before="524" w:after="54"/>
        <w:ind w:left="360" w:right="0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>Influencer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76"/>
        </w:trPr>
        <w:tc>
          <w:tcPr>
            <w:tcW w:type="dxa" w:w="432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Full Name </w:t>
            </w:r>
          </w:p>
        </w:tc>
        <w:tc>
          <w:tcPr>
            <w:tcW w:type="dxa" w:w="43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432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ID/Passport No. </w:t>
            </w:r>
          </w:p>
        </w:tc>
        <w:tc>
          <w:tcPr>
            <w:tcW w:type="dxa" w:w="43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432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Bank Account Details </w:t>
            </w:r>
          </w:p>
        </w:tc>
        <w:tc>
          <w:tcPr>
            <w:tcW w:type="dxa" w:w="43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432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Social Media Handles </w:t>
            </w:r>
          </w:p>
        </w:tc>
        <w:tc>
          <w:tcPr>
            <w:tcW w:type="dxa" w:w="43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432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Email Address </w:t>
            </w:r>
          </w:p>
        </w:tc>
        <w:tc>
          <w:tcPr>
            <w:tcW w:type="dxa" w:w="43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7" w:lineRule="auto" w:before="516" w:after="240"/>
        <w:ind w:left="360" w:right="432" w:firstLine="0"/>
        <w:jc w:val="left"/>
      </w:pP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IN WITNESS WHEREOF, the parties have executed this Agreement as of the date </w:t>
      </w:r>
      <w:r>
        <w:rPr>
          <w:rFonts w:ascii="Century Gothic" w:hAnsi="Century Gothic" w:eastAsia="Century Gothic"/>
          <w:b w:val="0"/>
          <w:i w:val="0"/>
          <w:color w:val="000000"/>
          <w:sz w:val="22"/>
        </w:rPr>
        <w:t xml:space="preserve">first written above.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1920"/>
        </w:trPr>
        <w:tc>
          <w:tcPr>
            <w:tcW w:type="dxa" w:w="432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864" w:firstLine="0"/>
              <w:jc w:val="left"/>
            </w:pPr>
            <w:r>
              <w:rPr>
                <w:rFonts w:ascii="Century Gothic" w:hAnsi="Century Gothic" w:eastAsia="Century Gothic"/>
                <w:b/>
                <w:i w:val="0"/>
                <w:color w:val="000000"/>
                <w:sz w:val="22"/>
              </w:rPr>
              <w:t xml:space="preserve">For Bematore Technologies Ltd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Name: Thomas Ojanga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Title: Director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Telephone: 0728996670 </w:t>
            </w:r>
          </w:p>
          <w:p>
            <w:pPr>
              <w:autoSpaceDN w:val="0"/>
              <w:autoSpaceDE w:val="0"/>
              <w:widowControl/>
              <w:spacing w:line="240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Signature: </w:t>
            </w:r>
            <w:r>
              <w:drawing>
                <wp:inline xmlns:a="http://schemas.openxmlformats.org/drawingml/2006/main" xmlns:pic="http://schemas.openxmlformats.org/drawingml/2006/picture">
                  <wp:extent cx="476250" cy="317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8" w:lineRule="auto" w:before="2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Date:16.08.2025 </w:t>
            </w:r>
          </w:p>
        </w:tc>
        <w:tc>
          <w:tcPr>
            <w:tcW w:type="dxa" w:w="43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" w:right="216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For the Influencer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Name: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ID/Passport No.: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Signature: </w:t>
            </w:r>
            <w:r>
              <w:br/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Date: </w:t>
            </w:r>
          </w:p>
        </w:tc>
      </w:tr>
      <w:tr>
        <w:trPr>
          <w:trHeight w:hRule="exact" w:val="256"/>
        </w:trPr>
        <w:tc>
          <w:tcPr>
            <w:tcW w:type="dxa" w:w="432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2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12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38" w:lineRule="auto" w:before="0" w:after="54"/>
        <w:ind w:left="360" w:right="0" w:firstLine="0"/>
        <w:jc w:val="left"/>
      </w:pPr>
      <w:r>
        <w:rPr>
          <w:rFonts w:ascii="Century Gothic" w:hAnsi="Century Gothic" w:eastAsia="Century Gothic"/>
          <w:b/>
          <w:i w:val="0"/>
          <w:color w:val="0066CC"/>
          <w:sz w:val="28"/>
        </w:rPr>
        <w:t>Referral Tracking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548"/>
        </w:trPr>
        <w:tc>
          <w:tcPr>
            <w:tcW w:type="dxa" w:w="2162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Date </w:t>
            </w:r>
          </w:p>
        </w:tc>
        <w:tc>
          <w:tcPr>
            <w:tcW w:type="dxa" w:w="216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72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Cumulative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Referrals </w:t>
            </w:r>
          </w:p>
        </w:tc>
        <w:tc>
          <w:tcPr>
            <w:tcW w:type="dxa" w:w="216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432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Milestone (500 </w:t>
            </w: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reached?) </w:t>
            </w:r>
          </w:p>
        </w:tc>
        <w:tc>
          <w:tcPr>
            <w:tcW w:type="dxa" w:w="216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Century Gothic" w:hAnsi="Century Gothic" w:eastAsia="Century Gothic"/>
                <w:b w:val="0"/>
                <w:i w:val="0"/>
                <w:color w:val="000000"/>
                <w:sz w:val="22"/>
              </w:rPr>
              <w:t xml:space="preserve">Payment Status </w:t>
            </w:r>
          </w:p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932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932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2162"/>
            <w:tcBorders>
              <w:start w:sz="3.199999999999932" w:val="single" w:color="#000000"/>
              <w:top w:sz="4.0" w:val="single" w:color="#000000"/>
              <w:end w:sz="3.2000000000000455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2162"/>
            <w:tcBorders>
              <w:start w:sz="3.199999999999932" w:val="single" w:color="#000000"/>
              <w:top w:sz="2.400000000000091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2.400000000000091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"/>
        </w:trPr>
        <w:tc>
          <w:tcPr>
            <w:tcW w:type="dxa" w:w="2162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16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2162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0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2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info@bematore.com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