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1b79640d1b3d4c0e"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49178F" w14:textId="4A3B2585" w:rsidR="00D34FDC" w:rsidRPr="00701262" w:rsidRDefault="00AE6F65" w:rsidP="00D34FDC">
      <w:pPr>
        <w:spacing w:after="100" w:afterAutospacing="1"/>
        <w:jc w:val="center"/>
        <w:rPr>
          <w:b/>
          <w:bCs/>
          <w:sz w:val="32"/>
          <w:szCs w:val="32"/>
        </w:rPr>
      </w:pPr>
      <w:bookmarkStart w:id="0" w:name="_Toc271558698"/>
      <w:bookmarkStart w:id="1" w:name="_Toc384635077"/>
      <w:bookmarkStart w:id="2" w:name="_GoBack"/>
      <w:bookmarkEnd w:id="2"/>
      <w:r w:rsidRPr="001F25C8">
        <w:rPr>
          <w:b/>
          <w:bCs/>
          <w:sz w:val="32"/>
          <w:szCs w:val="32"/>
        </w:rPr>
        <w:t>Annex</w:t>
      </w:r>
      <w:r w:rsidR="00B55026" w:rsidRPr="001F25C8">
        <w:rPr>
          <w:b/>
          <w:bCs/>
          <w:sz w:val="32"/>
          <w:szCs w:val="32"/>
        </w:rPr>
        <w:t xml:space="preserve">ure </w:t>
      </w:r>
      <w:r w:rsidR="001F25C8" w:rsidRPr="001F25C8">
        <w:rPr>
          <w:b/>
          <w:bCs/>
          <w:sz w:val="32"/>
          <w:szCs w:val="32"/>
        </w:rPr>
        <w:t>C</w:t>
      </w:r>
      <w:r w:rsidR="00701262">
        <w:rPr>
          <w:b/>
          <w:bCs/>
          <w:sz w:val="32"/>
          <w:szCs w:val="32"/>
        </w:rPr>
        <w:t xml:space="preserve"> </w:t>
      </w:r>
    </w:p>
    <w:p w14:paraId="75491790" w14:textId="48595637" w:rsidR="00D34FDC" w:rsidRDefault="00D34FDC" w:rsidP="00D34FDC">
      <w:pPr>
        <w:pStyle w:val="ASDEFCONTitle"/>
      </w:pPr>
      <w:r>
        <w:t xml:space="preserve">australian industry capability </w:t>
      </w:r>
      <w:bookmarkEnd w:id="0"/>
      <w:bookmarkEnd w:id="1"/>
      <w:r w:rsidR="004805CF">
        <w:t>SCHEDULE</w:t>
      </w:r>
    </w:p>
    <w:p w14:paraId="75491793" w14:textId="6A382749" w:rsidR="00D34FDC" w:rsidRPr="00254C96" w:rsidRDefault="00D34FDC" w:rsidP="00D34FDC">
      <w:pPr>
        <w:pStyle w:val="NoteToDrafters-ASDEFCON"/>
      </w:pPr>
      <w:r>
        <w:t xml:space="preserve">Note to drafters:  </w:t>
      </w:r>
      <w:r w:rsidRPr="00254C96">
        <w:t xml:space="preserve">This </w:t>
      </w:r>
      <w:r>
        <w:t>annex should be used for</w:t>
      </w:r>
      <w:r w:rsidRPr="00254C96">
        <w:t xml:space="preserve"> </w:t>
      </w:r>
      <w:r>
        <w:t xml:space="preserve">procurements where the expected </w:t>
      </w:r>
      <w:r w:rsidRPr="00254C96">
        <w:t xml:space="preserve">value </w:t>
      </w:r>
      <w:r>
        <w:t xml:space="preserve">of </w:t>
      </w:r>
      <w:r w:rsidRPr="00254C96">
        <w:t xml:space="preserve">any resultant </w:t>
      </w:r>
      <w:r w:rsidR="00A20901">
        <w:t>Work Order</w:t>
      </w:r>
      <w:r w:rsidRPr="00254C96">
        <w:t xml:space="preserve"> </w:t>
      </w:r>
      <w:r>
        <w:t>will be</w:t>
      </w:r>
      <w:r w:rsidRPr="00254C96">
        <w:t xml:space="preserve"> between $4 </w:t>
      </w:r>
      <w:r>
        <w:t xml:space="preserve">million </w:t>
      </w:r>
      <w:r w:rsidRPr="00254C96">
        <w:t>and $20 million (GST inclusive).</w:t>
      </w:r>
    </w:p>
    <w:p w14:paraId="75491795" w14:textId="235F8270" w:rsidR="00D34FDC" w:rsidRDefault="00D34FDC" w:rsidP="00D34FDC">
      <w:pPr>
        <w:pStyle w:val="NoteToDrafters-ASDEFCON"/>
      </w:pPr>
      <w:r>
        <w:t xml:space="preserve">If the expected value of any resultant </w:t>
      </w:r>
      <w:r w:rsidR="0047250E">
        <w:t>Work Order</w:t>
      </w:r>
      <w:r>
        <w:t xml:space="preserve"> is likely to exceed $20 million, then </w:t>
      </w:r>
      <w:r w:rsidR="0047250E">
        <w:t xml:space="preserve">the AIC Plan template </w:t>
      </w:r>
      <w:r>
        <w:t xml:space="preserve">should </w:t>
      </w:r>
      <w:r w:rsidR="0047250E">
        <w:t>be used</w:t>
      </w:r>
      <w:r>
        <w:t>.</w:t>
      </w:r>
    </w:p>
    <w:p w14:paraId="75491796" w14:textId="08AFFA55" w:rsidR="00D34FDC" w:rsidRDefault="00D34FDC" w:rsidP="00D34FDC">
      <w:pPr>
        <w:pStyle w:val="NoteToTenderers-ASDEFCON"/>
      </w:pPr>
      <w:r w:rsidRPr="007A6330">
        <w:t>Note to tenderers:</w:t>
      </w:r>
      <w:r>
        <w:t xml:space="preserve"> </w:t>
      </w:r>
      <w:r w:rsidRPr="007A6330">
        <w:t xml:space="preserve"> </w:t>
      </w:r>
      <w:bookmarkStart w:id="3" w:name="_Ref476923835"/>
      <w:r w:rsidRPr="007A6330">
        <w:t>The</w:t>
      </w:r>
      <w:r>
        <w:t xml:space="preserve"> Australian Industry </w:t>
      </w:r>
      <w:r w:rsidR="00601E68">
        <w:t>Capability</w:t>
      </w:r>
      <w:r w:rsidR="00B75DE7">
        <w:t xml:space="preserve"> (AIC)</w:t>
      </w:r>
      <w:r w:rsidRPr="007A6330">
        <w:t xml:space="preserve"> Schedule forms part of any resultant </w:t>
      </w:r>
      <w:r w:rsidR="00B75DE7">
        <w:t>Work Order</w:t>
      </w:r>
      <w:r w:rsidRPr="007A6330">
        <w:t xml:space="preserve"> and describes the </w:t>
      </w:r>
      <w:r w:rsidR="00B75DE7">
        <w:t>Supplier</w:t>
      </w:r>
      <w:r w:rsidRPr="007A6330">
        <w:t xml:space="preserve">’s commitments to the participation of Australian Industry for that </w:t>
      </w:r>
      <w:r w:rsidR="00400859">
        <w:t>Work Order</w:t>
      </w:r>
      <w:r w:rsidRPr="007A6330">
        <w:t xml:space="preserve">, including local </w:t>
      </w:r>
      <w:r>
        <w:t>businesses</w:t>
      </w:r>
      <w:r w:rsidRPr="007A6330">
        <w:t xml:space="preserve"> operating in the areas where work is undertaken</w:t>
      </w:r>
      <w:r>
        <w:t>,</w:t>
      </w:r>
      <w:r w:rsidRPr="007A6330">
        <w:t xml:space="preserve"> and </w:t>
      </w:r>
      <w:r>
        <w:t xml:space="preserve">participation by </w:t>
      </w:r>
      <w:r w:rsidRPr="007A6330">
        <w:t>other small and medium enterprises (SMEs).</w:t>
      </w:r>
      <w:r w:rsidR="004537DC">
        <w:t xml:space="preserve"> </w:t>
      </w:r>
      <w:r w:rsidR="004537DC" w:rsidRPr="004537DC">
        <w:t xml:space="preserve">The draft AIC Schedule </w:t>
      </w:r>
      <w:r w:rsidR="002265F4">
        <w:t>must</w:t>
      </w:r>
      <w:r w:rsidR="004537DC" w:rsidRPr="004537DC">
        <w:t xml:space="preserve"> be </w:t>
      </w:r>
      <w:r w:rsidR="002265F4">
        <w:t>submitted to Defence</w:t>
      </w:r>
      <w:r w:rsidR="004537DC" w:rsidRPr="004537DC">
        <w:t xml:space="preserve"> </w:t>
      </w:r>
      <w:r w:rsidR="002265F4">
        <w:t>in accordance with any timescales specified in item 30 of an RFQ or Work Order.</w:t>
      </w:r>
    </w:p>
    <w:p w14:paraId="75491797" w14:textId="77777777" w:rsidR="00D34FDC" w:rsidRPr="00D576EF" w:rsidRDefault="00D34FDC" w:rsidP="00D34FDC">
      <w:pPr>
        <w:pStyle w:val="NoteToTenderers-ASDEFCON"/>
      </w:pPr>
      <w:r w:rsidRPr="00D576EF">
        <w:t xml:space="preserve">Tenderers should refer to the Industry Programs – ‘Doing Business with Defence’ Portal at </w:t>
      </w:r>
      <w:hyperlink r:id="rId7" w:history="1">
        <w:r w:rsidRPr="00775AA8">
          <w:rPr>
            <w:rStyle w:val="Hyperlink"/>
          </w:rPr>
          <w:t>http://www.defence.gov.au/casg/DoingBusiness/Industry/Industryprograms</w:t>
        </w:r>
        <w:r w:rsidRPr="0084153D">
          <w:rPr>
            <w:rStyle w:val="Hyperlink"/>
          </w:rPr>
          <w:t>/</w:t>
        </w:r>
      </w:hyperlink>
      <w:r>
        <w:t xml:space="preserve"> f</w:t>
      </w:r>
      <w:r w:rsidRPr="00D576EF">
        <w:t>or information relating to the Australian Industry Capability program and other Defence industry programs.</w:t>
      </w:r>
    </w:p>
    <w:p w14:paraId="75491798" w14:textId="77777777" w:rsidR="00D34FDC" w:rsidRDefault="00D34FDC" w:rsidP="00D34FDC">
      <w:pPr>
        <w:pStyle w:val="NoteToTenderers-ASDEFCON"/>
      </w:pPr>
      <w:r w:rsidRPr="00D576EF">
        <w:t xml:space="preserve">Tenderers should familiarise themselves with the </w:t>
      </w:r>
      <w:r>
        <w:t xml:space="preserve">2016 </w:t>
      </w:r>
      <w:r w:rsidRPr="00D576EF">
        <w:t>Defence Industry Policy Statement,</w:t>
      </w:r>
      <w:r w:rsidRPr="000E4879">
        <w:t xml:space="preserve"> </w:t>
      </w:r>
      <w:r>
        <w:t xml:space="preserve">2018 Defence Industrial Capability Plan, 2019 </w:t>
      </w:r>
      <w:r w:rsidRPr="005357E1">
        <w:t>Defence Policy</w:t>
      </w:r>
      <w:r>
        <w:t xml:space="preserve"> for Industry Participation, 2018 Defence Export Strategy and Australian Industry Capability (AIC) guidance, </w:t>
      </w:r>
      <w:r w:rsidRPr="00D576EF">
        <w:t>available at:</w:t>
      </w:r>
    </w:p>
    <w:p w14:paraId="75491799" w14:textId="77777777" w:rsidR="00D34FDC" w:rsidRPr="00816D7E" w:rsidRDefault="001F25C8" w:rsidP="00D34FDC">
      <w:pPr>
        <w:pStyle w:val="NoteToTenderersBullets-ASDEFCON"/>
        <w:numPr>
          <w:ilvl w:val="0"/>
          <w:numId w:val="5"/>
        </w:numPr>
        <w:ind w:hanging="720"/>
        <w:rPr>
          <w:rStyle w:val="Hyperlink"/>
          <w:b w:val="0"/>
          <w:i w:val="0"/>
          <w:color w:val="auto"/>
        </w:rPr>
      </w:pPr>
      <w:hyperlink r:id="rId8" w:history="1">
        <w:r w:rsidR="00D34FDC">
          <w:rPr>
            <w:rStyle w:val="Hyperlink"/>
          </w:rPr>
          <w:t>http://www.defence.gov.au/SPI/Industry/AIC.asp</w:t>
        </w:r>
      </w:hyperlink>
      <w:r w:rsidR="00D34FDC" w:rsidRPr="00BB4EEC">
        <w:rPr>
          <w:rStyle w:val="Hyperlink"/>
          <w:color w:val="auto"/>
        </w:rPr>
        <w:t>;</w:t>
      </w:r>
    </w:p>
    <w:p w14:paraId="7549179A" w14:textId="77777777" w:rsidR="00D34FDC" w:rsidRPr="00816D7E" w:rsidRDefault="00D34FDC" w:rsidP="00D34FDC">
      <w:pPr>
        <w:pStyle w:val="NoteToTenderersBullets-ASDEFCON"/>
        <w:numPr>
          <w:ilvl w:val="0"/>
          <w:numId w:val="5"/>
        </w:numPr>
        <w:ind w:hanging="720"/>
        <w:rPr>
          <w:rStyle w:val="Hyperlink"/>
        </w:rPr>
      </w:pPr>
      <w:r w:rsidRPr="002F42E1">
        <w:rPr>
          <w:rStyle w:val="Hyperlink"/>
        </w:rPr>
        <w:t>https://www.defence.gov.au/SPI/Docs/Defence-Policy-for-Industry-Participation.pdf</w:t>
      </w:r>
      <w:r>
        <w:rPr>
          <w:rStyle w:val="Hyperlink"/>
        </w:rPr>
        <w:t>;</w:t>
      </w:r>
    </w:p>
    <w:p w14:paraId="7549179B" w14:textId="77777777" w:rsidR="00D34FDC" w:rsidRPr="00EA03B9" w:rsidRDefault="001F25C8" w:rsidP="00D34FDC">
      <w:pPr>
        <w:pStyle w:val="NoteToTenderersBullets-ASDEFCON"/>
        <w:numPr>
          <w:ilvl w:val="0"/>
          <w:numId w:val="5"/>
        </w:numPr>
        <w:ind w:hanging="720"/>
        <w:rPr>
          <w:rStyle w:val="Hyperlink"/>
          <w:b w:val="0"/>
          <w:i w:val="0"/>
          <w:color w:val="auto"/>
        </w:rPr>
      </w:pPr>
      <w:hyperlink r:id="rId9" w:history="1">
        <w:r w:rsidR="00D34FDC" w:rsidRPr="00C971A8">
          <w:rPr>
            <w:rStyle w:val="Hyperlink"/>
          </w:rPr>
          <w:t>http://www.defe</w:t>
        </w:r>
        <w:r w:rsidR="00D34FDC" w:rsidRPr="000749E7">
          <w:rPr>
            <w:rStyle w:val="Hyperlink"/>
          </w:rPr>
          <w:t>nce.gov.au/SPI/Industry/CapabilityPlan/</w:t>
        </w:r>
      </w:hyperlink>
      <w:r w:rsidR="00D34FDC" w:rsidRPr="00EA03B9">
        <w:rPr>
          <w:rStyle w:val="Hyperlink"/>
          <w:color w:val="auto"/>
        </w:rPr>
        <w:t>; and</w:t>
      </w:r>
    </w:p>
    <w:p w14:paraId="7549179C" w14:textId="77777777" w:rsidR="00D34FDC" w:rsidRDefault="001F25C8" w:rsidP="00D34FDC">
      <w:pPr>
        <w:pStyle w:val="NoteToTenderers-ASDEFCON"/>
        <w:numPr>
          <w:ilvl w:val="0"/>
          <w:numId w:val="5"/>
        </w:numPr>
        <w:ind w:hanging="720"/>
        <w:rPr>
          <w:b w:val="0"/>
          <w:i w:val="0"/>
        </w:rPr>
      </w:pPr>
      <w:hyperlink r:id="rId10" w:history="1">
        <w:r w:rsidR="00D34FDC" w:rsidRPr="00C14EFF">
          <w:rPr>
            <w:rStyle w:val="Hyperlink"/>
            <w:szCs w:val="16"/>
          </w:rPr>
          <w:t>http://www.defence.gov.au/Export/Strategy/</w:t>
        </w:r>
      </w:hyperlink>
      <w:r w:rsidR="00D34FDC">
        <w:rPr>
          <w:szCs w:val="16"/>
        </w:rPr>
        <w:t>.</w:t>
      </w:r>
    </w:p>
    <w:bookmarkEnd w:id="3"/>
    <w:p w14:paraId="7549179D" w14:textId="2E4C2E7C" w:rsidR="00D34FDC" w:rsidRDefault="00D34FDC" w:rsidP="00D34FDC">
      <w:pPr>
        <w:pStyle w:val="ATTANNLV1-ASDEFCON"/>
        <w:numPr>
          <w:ilvl w:val="0"/>
          <w:numId w:val="6"/>
        </w:numPr>
      </w:pPr>
      <w:r>
        <w:t xml:space="preserve">AustraLian industry </w:t>
      </w:r>
      <w:r w:rsidR="00C827FC">
        <w:t xml:space="preserve">Capability </w:t>
      </w:r>
      <w:r>
        <w:t>schedule requirements</w:t>
      </w:r>
    </w:p>
    <w:p w14:paraId="7549179E" w14:textId="77777777" w:rsidR="00D34FDC" w:rsidRDefault="00D34FDC" w:rsidP="00D34FDC">
      <w:pPr>
        <w:pStyle w:val="ATTANNLV2-ASDEFCON"/>
      </w:pPr>
      <w:r>
        <w:t>Tenderers are to:</w:t>
      </w:r>
    </w:p>
    <w:p w14:paraId="7549179F" w14:textId="0B821F03" w:rsidR="00D34FDC" w:rsidRDefault="00D34FDC" w:rsidP="00D34FDC">
      <w:pPr>
        <w:pStyle w:val="ATTANNLV3-ASDEFCON"/>
      </w:pPr>
      <w:r>
        <w:t>provide a draft AI</w:t>
      </w:r>
      <w:r w:rsidR="006C7938">
        <w:t>C</w:t>
      </w:r>
      <w:r>
        <w:t xml:space="preserve"> Schedule in accordance with Table 1 below;</w:t>
      </w:r>
    </w:p>
    <w:p w14:paraId="754917A0" w14:textId="77777777" w:rsidR="00D34FDC" w:rsidRDefault="00D34FDC" w:rsidP="00D34FDC">
      <w:pPr>
        <w:pStyle w:val="ATTANNLV3-ASDEFCON"/>
      </w:pPr>
      <w:r>
        <w:t xml:space="preserve">describe the tenderer’s approach </w:t>
      </w:r>
      <w:r w:rsidRPr="000D0D33">
        <w:t>to maximis</w:t>
      </w:r>
      <w:r>
        <w:t>ing participation of</w:t>
      </w:r>
      <w:r w:rsidRPr="000D0D33">
        <w:t xml:space="preserve"> </w:t>
      </w:r>
      <w:r>
        <w:t xml:space="preserve">Australian Industry (where competitive), including </w:t>
      </w:r>
      <w:r w:rsidRPr="000D0D33">
        <w:t xml:space="preserve">local </w:t>
      </w:r>
      <w:r>
        <w:t>businesses,</w:t>
      </w:r>
      <w:r w:rsidRPr="000D0D33">
        <w:t xml:space="preserve"> in </w:t>
      </w:r>
      <w:r>
        <w:t>their</w:t>
      </w:r>
      <w:r w:rsidRPr="000D0D33">
        <w:t xml:space="preserve"> supply chain</w:t>
      </w:r>
      <w:r>
        <w:t>.  This is to include evidence that the tenderer has market tested Australian Industry, including local businesses;</w:t>
      </w:r>
    </w:p>
    <w:p w14:paraId="754917A1" w14:textId="37834224" w:rsidR="00D34FDC" w:rsidRPr="00EC103C" w:rsidRDefault="00D34FDC" w:rsidP="00D34FDC">
      <w:pPr>
        <w:pStyle w:val="NoteToTenderers-ASDEFCON"/>
      </w:pPr>
      <w:r w:rsidRPr="00EC103C">
        <w:t xml:space="preserve">Note to </w:t>
      </w:r>
      <w:r>
        <w:t>t</w:t>
      </w:r>
      <w:r w:rsidRPr="00EC103C">
        <w:t xml:space="preserve">enderers: </w:t>
      </w:r>
      <w:r>
        <w:t xml:space="preserve"> </w:t>
      </w:r>
      <w:r w:rsidRPr="00EC103C">
        <w:t xml:space="preserve">Defence encourages </w:t>
      </w:r>
      <w:r w:rsidR="00400859">
        <w:t>Supplier</w:t>
      </w:r>
      <w:r w:rsidR="00400859" w:rsidRPr="00EC103C">
        <w:t xml:space="preserve">s </w:t>
      </w:r>
      <w:r w:rsidRPr="00EC103C">
        <w:t>to maximise the use of ‘local’</w:t>
      </w:r>
      <w:r>
        <w:t xml:space="preserve"> businesses</w:t>
      </w:r>
      <w:r w:rsidRPr="00EC103C">
        <w:t xml:space="preserve"> in their supply chains, particularly whe</w:t>
      </w:r>
      <w:r>
        <w:t>n</w:t>
      </w:r>
      <w:r w:rsidRPr="00EC103C">
        <w:t xml:space="preserve"> </w:t>
      </w:r>
      <w:r w:rsidR="00400859">
        <w:t>Work Order</w:t>
      </w:r>
      <w:r w:rsidR="00400859" w:rsidRPr="00EC103C">
        <w:t xml:space="preserve">s </w:t>
      </w:r>
      <w:r w:rsidRPr="00EC103C">
        <w:t>require work to be performed in Australia</w:t>
      </w:r>
      <w:r>
        <w:t xml:space="preserve">. </w:t>
      </w:r>
      <w:r w:rsidRPr="00EC103C">
        <w:t xml:space="preserve"> For </w:t>
      </w:r>
      <w:r>
        <w:t>example</w:t>
      </w:r>
      <w:r w:rsidRPr="00EC103C">
        <w:t xml:space="preserve">, </w:t>
      </w:r>
      <w:r>
        <w:t>if</w:t>
      </w:r>
      <w:r w:rsidRPr="00EC103C">
        <w:t xml:space="preserve"> work is to be performed at </w:t>
      </w:r>
      <w:r>
        <w:t xml:space="preserve">or near </w:t>
      </w:r>
      <w:r w:rsidRPr="00EC103C">
        <w:t xml:space="preserve">a Defence base (particularly in regional or remote Australia), Defence expects </w:t>
      </w:r>
      <w:r>
        <w:t xml:space="preserve">that, for any resultant </w:t>
      </w:r>
      <w:r w:rsidR="00C07C9B">
        <w:t>Work Order</w:t>
      </w:r>
      <w:r>
        <w:t>,</w:t>
      </w:r>
      <w:r w:rsidRPr="00EC103C">
        <w:t xml:space="preserve"> processes for selecting companies to participate in the supply chain</w:t>
      </w:r>
      <w:r>
        <w:t xml:space="preserve"> will</w:t>
      </w:r>
      <w:r w:rsidRPr="00EC103C">
        <w:t xml:space="preserve"> include mechanisms to engage competitive </w:t>
      </w:r>
      <w:r>
        <w:t xml:space="preserve">local </w:t>
      </w:r>
      <w:r w:rsidRPr="00EC103C">
        <w:t>businesses that are based or primarily operate in the area where the Defence base is located.</w:t>
      </w:r>
    </w:p>
    <w:p w14:paraId="754917A2" w14:textId="555F9AF4" w:rsidR="00D34FDC" w:rsidRDefault="00D34FDC" w:rsidP="00D34FDC">
      <w:pPr>
        <w:pStyle w:val="NoteToTenderers-ASDEFCON"/>
      </w:pPr>
      <w:r w:rsidRPr="00EC103C">
        <w:t xml:space="preserve">In responding to </w:t>
      </w:r>
      <w:r>
        <w:t xml:space="preserve">clause </w:t>
      </w:r>
      <w:r w:rsidRPr="00EC103C">
        <w:t xml:space="preserve">1.1c, the </w:t>
      </w:r>
      <w:r>
        <w:t>t</w:t>
      </w:r>
      <w:r w:rsidRPr="00EC103C">
        <w:t xml:space="preserve">enderer </w:t>
      </w:r>
      <w:r>
        <w:t>is to</w:t>
      </w:r>
      <w:r w:rsidRPr="00EC103C">
        <w:t xml:space="preserve"> set out ‘local business’ criteria against which </w:t>
      </w:r>
      <w:r>
        <w:t xml:space="preserve">local Australian Industry </w:t>
      </w:r>
      <w:r w:rsidRPr="00EC103C">
        <w:t xml:space="preserve">will be assessed. </w:t>
      </w:r>
      <w:r>
        <w:t xml:space="preserve"> </w:t>
      </w:r>
      <w:r w:rsidRPr="00EC103C">
        <w:t>These criteria might include a distance or range from the Defence base or work location, or an identifiable area or region within which a company must have its principal place of business, or at least a major presence, to qualify as a ‘local business’.</w:t>
      </w:r>
      <w:r>
        <w:t xml:space="preserve"> </w:t>
      </w:r>
      <w:r w:rsidRPr="00EC103C">
        <w:t xml:space="preserve"> These distances, ranges, areas or regions could differ depending on the location or nature of the work, but the proposed definition will be assessed by the Commonwealth in accordance with the Defence Policy for Industry Participation. </w:t>
      </w:r>
      <w:r>
        <w:t xml:space="preserve"> </w:t>
      </w:r>
      <w:r w:rsidRPr="00EC103C">
        <w:t>A definition of ‘local business’ that is agreed with the Commonwealth will be included in the Glossary</w:t>
      </w:r>
      <w:r>
        <w:t xml:space="preserve"> of</w:t>
      </w:r>
      <w:r w:rsidRPr="00EC103C">
        <w:t xml:space="preserve"> the resultant </w:t>
      </w:r>
      <w:r w:rsidR="009A2149">
        <w:t>Work Order</w:t>
      </w:r>
      <w:r w:rsidRPr="00EC103C">
        <w:t>.</w:t>
      </w:r>
    </w:p>
    <w:p w14:paraId="754917A3" w14:textId="77777777" w:rsidR="00D34FDC" w:rsidRDefault="00D34FDC" w:rsidP="00D34FDC">
      <w:pPr>
        <w:pStyle w:val="ATTANNLV3-ASDEFCON"/>
      </w:pPr>
      <w:r>
        <w:t xml:space="preserve">describe </w:t>
      </w:r>
      <w:r w:rsidRPr="000D0D33">
        <w:t>how</w:t>
      </w:r>
      <w:r>
        <w:t xml:space="preserve"> the</w:t>
      </w:r>
      <w:r w:rsidRPr="002F0826">
        <w:t xml:space="preserve"> </w:t>
      </w:r>
      <w:r>
        <w:rPr>
          <w:bCs/>
        </w:rPr>
        <w:t>tenderer</w:t>
      </w:r>
      <w:r w:rsidRPr="000D0D33">
        <w:t xml:space="preserve"> </w:t>
      </w:r>
      <w:r>
        <w:t xml:space="preserve">proposes to </w:t>
      </w:r>
      <w:r w:rsidRPr="000D0D33">
        <w:t xml:space="preserve">define ‘local </w:t>
      </w:r>
      <w:r>
        <w:t>business</w:t>
      </w:r>
      <w:r w:rsidRPr="000D0D33">
        <w:t>’</w:t>
      </w:r>
      <w:r>
        <w:t xml:space="preserve">, and how the </w:t>
      </w:r>
      <w:r>
        <w:rPr>
          <w:bCs/>
        </w:rPr>
        <w:t>tenderer</w:t>
      </w:r>
      <w:r w:rsidRPr="000D0D33">
        <w:t xml:space="preserve"> will determine whether a service provider or supplier meets this definition</w:t>
      </w:r>
      <w:r>
        <w:t>; and</w:t>
      </w:r>
    </w:p>
    <w:p w14:paraId="1ED2A49B" w14:textId="77777777" w:rsidR="002265F4" w:rsidRDefault="00D34FDC" w:rsidP="00D34FDC">
      <w:pPr>
        <w:pStyle w:val="NoteToTenderers-ASDEFCON"/>
        <w:rPr>
          <w:rStyle w:val="Hyperlink"/>
        </w:rPr>
      </w:pPr>
      <w:r w:rsidRPr="00C10F05">
        <w:rPr>
          <w:rFonts w:cs="Arial"/>
          <w:szCs w:val="20"/>
        </w:rPr>
        <w:t xml:space="preserve">Note to </w:t>
      </w:r>
      <w:r>
        <w:rPr>
          <w:rFonts w:cs="Arial"/>
          <w:szCs w:val="20"/>
        </w:rPr>
        <w:t>t</w:t>
      </w:r>
      <w:r w:rsidRPr="00C10F05">
        <w:rPr>
          <w:rFonts w:cs="Arial"/>
          <w:bCs/>
          <w:szCs w:val="20"/>
        </w:rPr>
        <w:t>enderers</w:t>
      </w:r>
      <w:r w:rsidRPr="00C10F05">
        <w:rPr>
          <w:rFonts w:cs="Arial"/>
          <w:szCs w:val="20"/>
        </w:rPr>
        <w:t xml:space="preserve">: </w:t>
      </w:r>
      <w:r>
        <w:rPr>
          <w:rFonts w:cs="Arial"/>
          <w:szCs w:val="20"/>
        </w:rPr>
        <w:t xml:space="preserve"> </w:t>
      </w:r>
      <w:r>
        <w:t>An Indigenous Enterprise</w:t>
      </w:r>
      <w:r w:rsidRPr="00970B64">
        <w:t xml:space="preserve"> is an organisation that is 50 per</w:t>
      </w:r>
      <w:r>
        <w:t xml:space="preserve"> </w:t>
      </w:r>
      <w:r w:rsidRPr="00970B64">
        <w:t xml:space="preserve">cent or more Indigenous owned that is operating as a business. </w:t>
      </w:r>
      <w:r>
        <w:t xml:space="preserve"> </w:t>
      </w:r>
      <w:r w:rsidRPr="00970B64">
        <w:t xml:space="preserve">Supply Nation is a membership body that </w:t>
      </w:r>
      <w:r w:rsidRPr="00970B64">
        <w:lastRenderedPageBreak/>
        <w:t xml:space="preserve">validates and promotes Indigenous </w:t>
      </w:r>
      <w:r>
        <w:t>Enterprises and</w:t>
      </w:r>
      <w:r w:rsidRPr="00260C35">
        <w:t xml:space="preserve"> </w:t>
      </w:r>
      <w:r w:rsidRPr="00064A0A">
        <w:t xml:space="preserve">maintains a list of enterprises that meet the </w:t>
      </w:r>
      <w:r>
        <w:t xml:space="preserve">requirements </w:t>
      </w:r>
      <w:r w:rsidRPr="00064A0A">
        <w:t xml:space="preserve">of Indigenous </w:t>
      </w:r>
      <w:r>
        <w:t>e</w:t>
      </w:r>
      <w:r w:rsidRPr="00064A0A">
        <w:t>nterprises</w:t>
      </w:r>
      <w:r>
        <w:t xml:space="preserve"> at </w:t>
      </w:r>
      <w:hyperlink r:id="rId11" w:history="1">
        <w:r w:rsidRPr="00876A35">
          <w:rPr>
            <w:rStyle w:val="Hyperlink"/>
          </w:rPr>
          <w:t>www.supplynation.org.au</w:t>
        </w:r>
      </w:hyperlink>
      <w:r w:rsidR="0073751F">
        <w:rPr>
          <w:rStyle w:val="Hyperlink"/>
        </w:rPr>
        <w:t xml:space="preserve">. </w:t>
      </w:r>
    </w:p>
    <w:p w14:paraId="754917A4" w14:textId="0E0B7D83" w:rsidR="00D34FDC" w:rsidRPr="00C10F05" w:rsidRDefault="002265F4" w:rsidP="007C6044">
      <w:pPr>
        <w:pStyle w:val="NoteToDrafters-ASDEFCON"/>
        <w:rPr>
          <w:rFonts w:cs="Arial"/>
          <w:szCs w:val="20"/>
        </w:rPr>
      </w:pPr>
      <w:r>
        <w:t>Note to drafters: The option below should be selected with r</w:t>
      </w:r>
      <w:r w:rsidR="0073751F">
        <w:t>efer</w:t>
      </w:r>
      <w:r>
        <w:t>ence</w:t>
      </w:r>
      <w:r w:rsidR="0073751F">
        <w:t xml:space="preserve"> to clause 12.3(g) and 12.3(h) of the </w:t>
      </w:r>
      <w:r>
        <w:t>ICTPA Deed which require</w:t>
      </w:r>
      <w:r w:rsidR="0073751F">
        <w:t xml:space="preserve"> the Supplier to prepare and comply with an Approved Indigenous Participation Plan where the Work Order Price for any Work Order exceeds $7.5 million</w:t>
      </w:r>
      <w:r>
        <w:t xml:space="preserve">. </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072"/>
      </w:tblGrid>
      <w:tr w:rsidR="00D34FDC" w14:paraId="754917A7" w14:textId="77777777" w:rsidTr="005D65D1">
        <w:tc>
          <w:tcPr>
            <w:tcW w:w="9072" w:type="dxa"/>
            <w:shd w:val="clear" w:color="auto" w:fill="auto"/>
          </w:tcPr>
          <w:p w14:paraId="754917A5" w14:textId="418D3B8A" w:rsidR="00D34FDC" w:rsidRDefault="00D34FDC" w:rsidP="005D65D1">
            <w:pPr>
              <w:pStyle w:val="ASDEFCONOption"/>
            </w:pPr>
            <w:r>
              <w:t xml:space="preserve">Option: For use when the </w:t>
            </w:r>
            <w:r w:rsidR="00A5655B">
              <w:t xml:space="preserve">Work Order </w:t>
            </w:r>
            <w:r>
              <w:t>does not include Indigenous Procurement Policy clauses that require the development and implementation of a separate Indigenous Procurement Policy Plan.</w:t>
            </w:r>
            <w:r w:rsidR="00F40EA2">
              <w:t xml:space="preserve"> </w:t>
            </w:r>
          </w:p>
          <w:p w14:paraId="754917A6" w14:textId="7F95D13D" w:rsidR="00D34FDC" w:rsidRPr="004C3282" w:rsidRDefault="00D34FDC" w:rsidP="00D34FDC">
            <w:pPr>
              <w:pStyle w:val="ATTANNLV3-ASDEFCON"/>
              <w:rPr>
                <w:rFonts w:cs="Arial"/>
                <w:szCs w:val="20"/>
              </w:rPr>
            </w:pPr>
            <w:r w:rsidRPr="007678EE">
              <w:rPr>
                <w:rFonts w:cs="Arial"/>
                <w:szCs w:val="20"/>
              </w:rPr>
              <w:t>describe the t</w:t>
            </w:r>
            <w:r w:rsidRPr="007678EE">
              <w:rPr>
                <w:rFonts w:cs="Arial"/>
                <w:bCs/>
                <w:szCs w:val="20"/>
              </w:rPr>
              <w:t>enderer</w:t>
            </w:r>
            <w:r w:rsidRPr="007678EE">
              <w:rPr>
                <w:rFonts w:cs="Arial"/>
                <w:szCs w:val="20"/>
              </w:rPr>
              <w:t>’s approach to supporting the Australian Government’s Indigenous Procurement Policy (</w:t>
            </w:r>
            <w:hyperlink r:id="rId12" w:history="1">
              <w:r w:rsidRPr="007121BF">
                <w:rPr>
                  <w:b/>
                  <w:i/>
                  <w:color w:val="0000FF"/>
                  <w:u w:val="single"/>
                </w:rPr>
                <w:t>https://www.niaa.gov.au/resource-centre/indigenous-affairs/commonwealth-indigenous-procurement-policy</w:t>
              </w:r>
            </w:hyperlink>
            <w:r w:rsidRPr="007678EE">
              <w:rPr>
                <w:rFonts w:cs="Arial"/>
                <w:szCs w:val="20"/>
              </w:rPr>
              <w:t>), in considering and involving recognised Indigenous Enterprises within the t</w:t>
            </w:r>
            <w:r w:rsidRPr="007678EE">
              <w:rPr>
                <w:rFonts w:cs="Arial"/>
                <w:bCs/>
                <w:szCs w:val="20"/>
              </w:rPr>
              <w:t>enderer</w:t>
            </w:r>
            <w:r w:rsidRPr="007678EE">
              <w:rPr>
                <w:rFonts w:cs="Arial"/>
                <w:szCs w:val="20"/>
              </w:rPr>
              <w:t xml:space="preserve">’s supply chain and the employment of Indigenous Australians as part of delivering any resultant </w:t>
            </w:r>
            <w:r w:rsidR="00316EA3">
              <w:rPr>
                <w:rFonts w:cs="Arial"/>
                <w:szCs w:val="20"/>
              </w:rPr>
              <w:t>Work Order</w:t>
            </w:r>
            <w:r w:rsidRPr="007678EE">
              <w:rPr>
                <w:rFonts w:cs="Arial"/>
                <w:szCs w:val="20"/>
              </w:rPr>
              <w:t>.</w:t>
            </w:r>
          </w:p>
        </w:tc>
      </w:tr>
    </w:tbl>
    <w:p w14:paraId="754917A8" w14:textId="77777777" w:rsidR="00D34FDC" w:rsidRDefault="00D34FDC" w:rsidP="00D34FDC">
      <w:pPr>
        <w:pStyle w:val="ASDEFCONOptionSpace"/>
      </w:pPr>
    </w:p>
    <w:p w14:paraId="754917A9" w14:textId="77777777" w:rsidR="00D34FDC" w:rsidRDefault="00D34FDC" w:rsidP="00D34FDC">
      <w:pPr>
        <w:pStyle w:val="ASDEFCONOptionSpace"/>
      </w:pP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072"/>
      </w:tblGrid>
      <w:tr w:rsidR="00D34FDC" w14:paraId="754917AC" w14:textId="77777777" w:rsidTr="005D65D1">
        <w:tc>
          <w:tcPr>
            <w:tcW w:w="9072" w:type="dxa"/>
            <w:shd w:val="clear" w:color="auto" w:fill="auto"/>
          </w:tcPr>
          <w:p w14:paraId="754917AA" w14:textId="77F5D5FD" w:rsidR="00D34FDC" w:rsidRDefault="00D34FDC" w:rsidP="005D65D1">
            <w:pPr>
              <w:pStyle w:val="ASDEFCONOption"/>
            </w:pPr>
            <w:r>
              <w:t xml:space="preserve">Option: For use when the </w:t>
            </w:r>
            <w:r w:rsidR="00316EA3">
              <w:t>Work Order</w:t>
            </w:r>
            <w:r>
              <w:t xml:space="preserve"> includes Indigenous Procurement Policy clauses that require the development and implementation of a separate Indigenous Procurement Policy Plan.</w:t>
            </w:r>
            <w:r w:rsidR="00A5655B">
              <w:t xml:space="preserve">   </w:t>
            </w:r>
          </w:p>
          <w:p w14:paraId="754917AB" w14:textId="77777777" w:rsidR="00D34FDC" w:rsidRDefault="00D34FDC" w:rsidP="007C6044">
            <w:pPr>
              <w:pStyle w:val="ATTANNLV3-ASDEFCON"/>
              <w:numPr>
                <w:ilvl w:val="2"/>
                <w:numId w:val="7"/>
              </w:numPr>
            </w:pPr>
            <w:r w:rsidRPr="00195A14">
              <w:t>summarise the tenderer’s approach to supporting the Australian Government’s Indigenous Procurement Policy (</w:t>
            </w:r>
            <w:hyperlink r:id="rId13" w:history="1">
              <w:r w:rsidRPr="002265F4">
                <w:rPr>
                  <w:rStyle w:val="Hyperlink"/>
                  <w:b/>
                  <w:i/>
                </w:rPr>
                <w:t>https://www.niaa.gov.au/resource-centre/indigenous-affairs/commonwealth-indigenous-procurement-policy</w:t>
              </w:r>
            </w:hyperlink>
            <w:r w:rsidRPr="00195A14">
              <w:t>), cross-referencing to its proposed Indigenous Procurement Policy Plan.</w:t>
            </w:r>
          </w:p>
        </w:tc>
      </w:tr>
    </w:tbl>
    <w:p w14:paraId="754917AD" w14:textId="77777777" w:rsidR="00D34FDC" w:rsidRDefault="00D34FDC" w:rsidP="00D34FDC">
      <w:pPr>
        <w:pStyle w:val="ATTANNLV3-ASDEFCON"/>
        <w:numPr>
          <w:ilvl w:val="0"/>
          <w:numId w:val="0"/>
        </w:numPr>
        <w:ind w:left="1418"/>
      </w:pPr>
    </w:p>
    <w:p w14:paraId="754917AE" w14:textId="77777777" w:rsidR="00D34FDC" w:rsidRDefault="00D34FDC" w:rsidP="00D34FDC">
      <w:pPr>
        <w:pStyle w:val="ATTANNLV3-ASDEFCON"/>
        <w:numPr>
          <w:ilvl w:val="0"/>
          <w:numId w:val="0"/>
        </w:numPr>
        <w:ind w:left="1418"/>
        <w:sectPr w:rsidR="00D34FDC" w:rsidSect="004A0505">
          <w:footerReference w:type="default" r:id="rId14"/>
          <w:pgSz w:w="11907" w:h="16840"/>
          <w:pgMar w:top="1418" w:right="1418" w:bottom="539" w:left="1418" w:header="567" w:footer="283" w:gutter="0"/>
          <w:pgNumType w:start="1"/>
          <w:cols w:space="720"/>
          <w:docGrid w:linePitch="272"/>
        </w:sectPr>
      </w:pPr>
    </w:p>
    <w:p w14:paraId="754917AF" w14:textId="0A23707A" w:rsidR="00D34FDC" w:rsidRDefault="00D34FDC" w:rsidP="00D34FDC">
      <w:pPr>
        <w:pStyle w:val="Caption"/>
        <w:keepNext/>
      </w:pPr>
      <w:r>
        <w:lastRenderedPageBreak/>
        <w:t xml:space="preserve">Table </w:t>
      </w:r>
      <w:r w:rsidR="001F25C8">
        <w:fldChar w:fldCharType="begin"/>
      </w:r>
      <w:r w:rsidR="001F25C8">
        <w:instrText xml:space="preserve"> SEQ Table \* ARABIC \r1 </w:instrText>
      </w:r>
      <w:r w:rsidR="001F25C8">
        <w:fldChar w:fldCharType="separate"/>
      </w:r>
      <w:r w:rsidR="00823D10">
        <w:rPr>
          <w:noProof/>
        </w:rPr>
        <w:t>1</w:t>
      </w:r>
      <w:r w:rsidR="001F25C8">
        <w:rPr>
          <w:noProof/>
        </w:rPr>
        <w:fldChar w:fldCharType="end"/>
      </w:r>
      <w:r>
        <w:t xml:space="preserve">: Australian </w:t>
      </w:r>
      <w:r w:rsidRPr="001F4E45">
        <w:t xml:space="preserve">Industry </w:t>
      </w:r>
      <w:r w:rsidR="000D459A">
        <w:t>Capability</w:t>
      </w:r>
      <w:r w:rsidRPr="001F4E45">
        <w:t xml:space="preserve"> Schedule</w:t>
      </w:r>
    </w:p>
    <w:tbl>
      <w:tblPr>
        <w:tblW w:w="1402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99"/>
        <w:tblCellMar>
          <w:left w:w="0" w:type="dxa"/>
          <w:right w:w="0" w:type="dxa"/>
        </w:tblCellMar>
        <w:tblLook w:val="0000" w:firstRow="0" w:lastRow="0" w:firstColumn="0" w:lastColumn="0" w:noHBand="0" w:noVBand="0"/>
      </w:tblPr>
      <w:tblGrid>
        <w:gridCol w:w="983"/>
        <w:gridCol w:w="3543"/>
        <w:gridCol w:w="1704"/>
        <w:gridCol w:w="1095"/>
        <w:gridCol w:w="1095"/>
        <w:gridCol w:w="1095"/>
        <w:gridCol w:w="1095"/>
        <w:gridCol w:w="1095"/>
        <w:gridCol w:w="2319"/>
      </w:tblGrid>
      <w:tr w:rsidR="00D34FDC" w:rsidRPr="00B85567" w14:paraId="754917B9" w14:textId="77777777" w:rsidTr="005D65D1">
        <w:trPr>
          <w:jc w:val="center"/>
        </w:trPr>
        <w:tc>
          <w:tcPr>
            <w:tcW w:w="983" w:type="dxa"/>
            <w:shd w:val="clear" w:color="auto" w:fill="DDDDDD"/>
            <w:vAlign w:val="center"/>
          </w:tcPr>
          <w:p w14:paraId="754917B0" w14:textId="77777777" w:rsidR="00D34FDC" w:rsidRPr="00B85567" w:rsidRDefault="00D34FDC" w:rsidP="005D65D1">
            <w:pPr>
              <w:pStyle w:val="Table10ptHeading-ASDEFCON"/>
            </w:pPr>
            <w:r>
              <w:t>Item</w:t>
            </w:r>
            <w:r w:rsidRPr="00B85567">
              <w:t xml:space="preserve"> Number</w:t>
            </w:r>
          </w:p>
        </w:tc>
        <w:tc>
          <w:tcPr>
            <w:tcW w:w="3543" w:type="dxa"/>
            <w:tcBorders>
              <w:bottom w:val="single" w:sz="8" w:space="0" w:color="auto"/>
            </w:tcBorders>
            <w:shd w:val="clear" w:color="auto" w:fill="DDDDDD"/>
            <w:vAlign w:val="center"/>
          </w:tcPr>
          <w:p w14:paraId="754917B1" w14:textId="6F54E1DE" w:rsidR="00D34FDC" w:rsidRPr="00B85567" w:rsidRDefault="00D34FDC" w:rsidP="005D65D1">
            <w:pPr>
              <w:pStyle w:val="Table10ptHeading-ASDEFCON"/>
            </w:pPr>
            <w:r>
              <w:t>A</w:t>
            </w:r>
            <w:r w:rsidRPr="00B85567">
              <w:t>I</w:t>
            </w:r>
            <w:r w:rsidR="00C21F44">
              <w:t>A</w:t>
            </w:r>
            <w:r w:rsidRPr="00B85567">
              <w:t xml:space="preserve"> Description</w:t>
            </w:r>
          </w:p>
        </w:tc>
        <w:tc>
          <w:tcPr>
            <w:tcW w:w="1704" w:type="dxa"/>
            <w:tcBorders>
              <w:bottom w:val="single" w:sz="8" w:space="0" w:color="auto"/>
            </w:tcBorders>
            <w:shd w:val="clear" w:color="auto" w:fill="DDDDDD"/>
            <w:vAlign w:val="center"/>
          </w:tcPr>
          <w:p w14:paraId="754917B2" w14:textId="77777777" w:rsidR="00D34FDC" w:rsidRPr="00B85567" w:rsidRDefault="00D34FDC" w:rsidP="005D65D1">
            <w:pPr>
              <w:pStyle w:val="Table10ptHeading-ASDEFCON"/>
            </w:pPr>
            <w:r w:rsidRPr="00B85567">
              <w:t>Company Nam</w:t>
            </w:r>
            <w:r>
              <w:t>e and ACN/ABN/NZBN</w:t>
            </w:r>
          </w:p>
        </w:tc>
        <w:tc>
          <w:tcPr>
            <w:tcW w:w="1095" w:type="dxa"/>
            <w:tcBorders>
              <w:bottom w:val="single" w:sz="8" w:space="0" w:color="auto"/>
            </w:tcBorders>
            <w:shd w:val="clear" w:color="auto" w:fill="DDDDDD"/>
          </w:tcPr>
          <w:p w14:paraId="754917B3" w14:textId="77777777" w:rsidR="00D34FDC" w:rsidRPr="00B85567" w:rsidRDefault="00D34FDC" w:rsidP="005D65D1">
            <w:pPr>
              <w:pStyle w:val="Table10ptHeading-ASDEFCON"/>
              <w:rPr>
                <w:rFonts w:ascii="Arial Bold" w:hAnsi="Arial Bold"/>
              </w:rPr>
            </w:pPr>
            <w:r>
              <w:rPr>
                <w:rFonts w:eastAsia="MS Mincho"/>
                <w:lang w:eastAsia="ja-JP"/>
              </w:rPr>
              <w:t>Payment Schedule Reference</w:t>
            </w:r>
          </w:p>
        </w:tc>
        <w:tc>
          <w:tcPr>
            <w:tcW w:w="1095" w:type="dxa"/>
            <w:tcBorders>
              <w:bottom w:val="single" w:sz="8" w:space="0" w:color="auto"/>
            </w:tcBorders>
            <w:shd w:val="clear" w:color="auto" w:fill="DDDDDD"/>
            <w:vAlign w:val="center"/>
          </w:tcPr>
          <w:p w14:paraId="754917B4" w14:textId="75CAE026" w:rsidR="00D34FDC" w:rsidRPr="00B85567" w:rsidRDefault="00D34FDC" w:rsidP="005D65D1">
            <w:pPr>
              <w:pStyle w:val="Table10ptHeading-ASDEFCON"/>
            </w:pPr>
            <w:r>
              <w:t>A</w:t>
            </w:r>
            <w:r w:rsidRPr="00B85567">
              <w:t>I</w:t>
            </w:r>
            <w:r w:rsidR="00EC4452">
              <w:t>A</w:t>
            </w:r>
            <w:r w:rsidRPr="00B85567">
              <w:t xml:space="preserve"> Value</w:t>
            </w:r>
            <w:r>
              <w:t xml:space="preserve"> </w:t>
            </w:r>
            <w:r w:rsidRPr="00B85567">
              <w:t>(AUD)</w:t>
            </w:r>
          </w:p>
        </w:tc>
        <w:tc>
          <w:tcPr>
            <w:tcW w:w="1095" w:type="dxa"/>
            <w:tcBorders>
              <w:bottom w:val="single" w:sz="8" w:space="0" w:color="auto"/>
            </w:tcBorders>
            <w:shd w:val="clear" w:color="auto" w:fill="DDDDDD"/>
          </w:tcPr>
          <w:p w14:paraId="754917B5" w14:textId="77777777" w:rsidR="00D34FDC" w:rsidRPr="00EA03B9" w:rsidRDefault="00D34FDC" w:rsidP="005D65D1">
            <w:pPr>
              <w:pStyle w:val="Table10ptHeading-ASDEFCON"/>
            </w:pPr>
            <w:r w:rsidRPr="00EA03B9">
              <w:t xml:space="preserve">Location (including </w:t>
            </w:r>
            <w:r>
              <w:br/>
            </w:r>
            <w:r w:rsidRPr="00EA03B9">
              <w:t>Postcode)</w:t>
            </w:r>
          </w:p>
        </w:tc>
        <w:tc>
          <w:tcPr>
            <w:tcW w:w="1095" w:type="dxa"/>
            <w:tcBorders>
              <w:bottom w:val="single" w:sz="8" w:space="0" w:color="auto"/>
            </w:tcBorders>
            <w:shd w:val="clear" w:color="auto" w:fill="DDDDDD"/>
            <w:vAlign w:val="center"/>
          </w:tcPr>
          <w:p w14:paraId="754917B6" w14:textId="77777777" w:rsidR="00D34FDC" w:rsidRPr="00B85567" w:rsidRDefault="00D34FDC" w:rsidP="005D65D1">
            <w:pPr>
              <w:pStyle w:val="Table10ptHeading-ASDEFCON"/>
              <w:rPr>
                <w:rFonts w:eastAsia="MS Mincho"/>
                <w:lang w:eastAsia="ja-JP"/>
              </w:rPr>
            </w:pPr>
            <w:r>
              <w:rPr>
                <w:rFonts w:eastAsia="MS Mincho"/>
                <w:lang w:eastAsia="ja-JP"/>
              </w:rPr>
              <w:t xml:space="preserve">SME </w:t>
            </w:r>
            <w:r>
              <w:rPr>
                <w:rFonts w:eastAsia="MS Mincho"/>
                <w:lang w:eastAsia="ja-JP"/>
              </w:rPr>
              <w:br/>
              <w:t>(Y/N)</w:t>
            </w:r>
          </w:p>
        </w:tc>
        <w:tc>
          <w:tcPr>
            <w:tcW w:w="1095" w:type="dxa"/>
            <w:tcBorders>
              <w:bottom w:val="single" w:sz="8" w:space="0" w:color="auto"/>
            </w:tcBorders>
            <w:shd w:val="clear" w:color="auto" w:fill="DDDDDD"/>
          </w:tcPr>
          <w:p w14:paraId="754917B7" w14:textId="77777777" w:rsidR="00D34FDC" w:rsidRPr="00B85567" w:rsidRDefault="00D34FDC" w:rsidP="005D65D1">
            <w:pPr>
              <w:pStyle w:val="Table10ptHeading-ASDEFCON"/>
              <w:rPr>
                <w:rFonts w:eastAsia="MS Mincho"/>
                <w:lang w:eastAsia="ja-JP"/>
              </w:rPr>
            </w:pPr>
            <w:r>
              <w:rPr>
                <w:rFonts w:eastAsia="MS Mincho"/>
                <w:lang w:eastAsia="ja-JP"/>
              </w:rPr>
              <w:t xml:space="preserve">Indigenous Enterprise </w:t>
            </w:r>
            <w:r>
              <w:rPr>
                <w:rFonts w:eastAsia="MS Mincho"/>
                <w:lang w:eastAsia="ja-JP"/>
              </w:rPr>
              <w:br/>
              <w:t>(Y/N)</w:t>
            </w:r>
          </w:p>
        </w:tc>
        <w:tc>
          <w:tcPr>
            <w:tcW w:w="2319" w:type="dxa"/>
            <w:tcBorders>
              <w:bottom w:val="single" w:sz="8" w:space="0" w:color="auto"/>
            </w:tcBorders>
            <w:shd w:val="clear" w:color="auto" w:fill="DDDDDD"/>
          </w:tcPr>
          <w:p w14:paraId="754917B8" w14:textId="77777777" w:rsidR="00D34FDC" w:rsidRPr="00B85567" w:rsidRDefault="00D34FDC" w:rsidP="005D65D1">
            <w:pPr>
              <w:pStyle w:val="Table10ptHeading-ASDEFCON"/>
              <w:rPr>
                <w:rFonts w:eastAsia="MS Mincho"/>
                <w:lang w:eastAsia="ja-JP"/>
              </w:rPr>
            </w:pPr>
            <w:r>
              <w:rPr>
                <w:rFonts w:eastAsia="MS Mincho"/>
                <w:lang w:eastAsia="ja-JP"/>
              </w:rPr>
              <w:t xml:space="preserve">Local Business </w:t>
            </w:r>
            <w:r>
              <w:rPr>
                <w:rFonts w:eastAsia="MS Mincho"/>
                <w:lang w:eastAsia="ja-JP"/>
              </w:rPr>
              <w:br/>
              <w:t xml:space="preserve">(Y/N and </w:t>
            </w:r>
            <w:r>
              <w:rPr>
                <w:rFonts w:eastAsia="MS Mincho"/>
                <w:lang w:eastAsia="ja-JP"/>
              </w:rPr>
              <w:br/>
              <w:t>Brief Justification)</w:t>
            </w:r>
          </w:p>
        </w:tc>
      </w:tr>
      <w:tr w:rsidR="00D34FDC" w:rsidRPr="00B85567" w14:paraId="754917C3" w14:textId="77777777" w:rsidTr="005D65D1">
        <w:trPr>
          <w:jc w:val="center"/>
        </w:trPr>
        <w:tc>
          <w:tcPr>
            <w:tcW w:w="983" w:type="dxa"/>
            <w:vAlign w:val="center"/>
          </w:tcPr>
          <w:p w14:paraId="754917BA" w14:textId="77777777" w:rsidR="00D34FDC" w:rsidRPr="00B85567" w:rsidRDefault="00D34FDC" w:rsidP="005D65D1">
            <w:pPr>
              <w:pStyle w:val="Table10ptHeading-ASDEFCON"/>
            </w:pPr>
            <w:r>
              <w:t>(a)</w:t>
            </w:r>
          </w:p>
        </w:tc>
        <w:tc>
          <w:tcPr>
            <w:tcW w:w="3543" w:type="dxa"/>
            <w:shd w:val="clear" w:color="auto" w:fill="D9D9D9"/>
          </w:tcPr>
          <w:p w14:paraId="754917BB" w14:textId="77777777" w:rsidR="00D34FDC" w:rsidRPr="00E63E63" w:rsidRDefault="00D34FDC" w:rsidP="005D65D1">
            <w:pPr>
              <w:pStyle w:val="Table10ptHeading-ASDEFCON"/>
            </w:pPr>
            <w:r w:rsidRPr="00E63E63">
              <w:t>(b)</w:t>
            </w:r>
          </w:p>
        </w:tc>
        <w:tc>
          <w:tcPr>
            <w:tcW w:w="1704" w:type="dxa"/>
            <w:shd w:val="clear" w:color="auto" w:fill="D9D9D9"/>
          </w:tcPr>
          <w:p w14:paraId="754917BC" w14:textId="77777777" w:rsidR="00D34FDC" w:rsidRPr="00E63E63" w:rsidRDefault="00D34FDC" w:rsidP="005D65D1">
            <w:pPr>
              <w:pStyle w:val="Table10ptHeading-ASDEFCON"/>
            </w:pPr>
            <w:r>
              <w:t>(c)</w:t>
            </w:r>
          </w:p>
        </w:tc>
        <w:tc>
          <w:tcPr>
            <w:tcW w:w="1095" w:type="dxa"/>
            <w:shd w:val="clear" w:color="auto" w:fill="D9D9D9"/>
          </w:tcPr>
          <w:p w14:paraId="754917BD" w14:textId="77777777" w:rsidR="00D34FDC" w:rsidRPr="00E63E63" w:rsidRDefault="00D34FDC" w:rsidP="005D65D1">
            <w:pPr>
              <w:pStyle w:val="Table10ptHeading-ASDEFCON"/>
            </w:pPr>
            <w:r>
              <w:t>(d)</w:t>
            </w:r>
          </w:p>
        </w:tc>
        <w:tc>
          <w:tcPr>
            <w:tcW w:w="1095" w:type="dxa"/>
            <w:shd w:val="clear" w:color="auto" w:fill="D9D9D9"/>
          </w:tcPr>
          <w:p w14:paraId="754917BE" w14:textId="77777777" w:rsidR="00D34FDC" w:rsidRPr="00E63E63" w:rsidRDefault="00D34FDC" w:rsidP="005D65D1">
            <w:pPr>
              <w:pStyle w:val="Table10ptHeading-ASDEFCON"/>
            </w:pPr>
            <w:r>
              <w:t>(e)</w:t>
            </w:r>
          </w:p>
        </w:tc>
        <w:tc>
          <w:tcPr>
            <w:tcW w:w="1095" w:type="dxa"/>
            <w:shd w:val="clear" w:color="auto" w:fill="D9D9D9"/>
          </w:tcPr>
          <w:p w14:paraId="754917BF" w14:textId="77777777" w:rsidR="00D34FDC" w:rsidRPr="00E63E63" w:rsidRDefault="00D34FDC" w:rsidP="005D65D1">
            <w:pPr>
              <w:pStyle w:val="Table10ptHeading-ASDEFCON"/>
            </w:pPr>
            <w:r>
              <w:t>(f)</w:t>
            </w:r>
          </w:p>
        </w:tc>
        <w:tc>
          <w:tcPr>
            <w:tcW w:w="1095" w:type="dxa"/>
            <w:shd w:val="clear" w:color="auto" w:fill="D9D9D9"/>
          </w:tcPr>
          <w:p w14:paraId="754917C0" w14:textId="77777777" w:rsidR="00D34FDC" w:rsidRDefault="00D34FDC" w:rsidP="005D65D1">
            <w:pPr>
              <w:pStyle w:val="Table10ptHeading-ASDEFCON"/>
            </w:pPr>
            <w:r>
              <w:t>(g)</w:t>
            </w:r>
          </w:p>
        </w:tc>
        <w:tc>
          <w:tcPr>
            <w:tcW w:w="1095" w:type="dxa"/>
            <w:shd w:val="clear" w:color="auto" w:fill="D9D9D9"/>
          </w:tcPr>
          <w:p w14:paraId="754917C1" w14:textId="77777777" w:rsidR="00D34FDC" w:rsidRDefault="00D34FDC" w:rsidP="005D65D1">
            <w:pPr>
              <w:pStyle w:val="Table10ptHeading-ASDEFCON"/>
            </w:pPr>
            <w:r>
              <w:t>(h)</w:t>
            </w:r>
          </w:p>
        </w:tc>
        <w:tc>
          <w:tcPr>
            <w:tcW w:w="2319" w:type="dxa"/>
            <w:shd w:val="clear" w:color="auto" w:fill="D9D9D9"/>
          </w:tcPr>
          <w:p w14:paraId="754917C2" w14:textId="77777777" w:rsidR="00D34FDC" w:rsidRDefault="00D34FDC" w:rsidP="005D65D1">
            <w:pPr>
              <w:pStyle w:val="Table10ptHeading-ASDEFCON"/>
            </w:pPr>
            <w:r>
              <w:t>(i)</w:t>
            </w:r>
          </w:p>
        </w:tc>
      </w:tr>
      <w:tr w:rsidR="00D34FDC" w:rsidRPr="00B85567" w14:paraId="754917CD" w14:textId="77777777" w:rsidTr="005D65D1">
        <w:trPr>
          <w:jc w:val="center"/>
        </w:trPr>
        <w:tc>
          <w:tcPr>
            <w:tcW w:w="983" w:type="dxa"/>
            <w:shd w:val="clear" w:color="auto" w:fill="DDDDDD"/>
            <w:vAlign w:val="center"/>
          </w:tcPr>
          <w:p w14:paraId="754917C4" w14:textId="71146230" w:rsidR="00D34FDC" w:rsidRPr="00C8522D" w:rsidRDefault="00D34FDC" w:rsidP="005D65D1">
            <w:pPr>
              <w:pStyle w:val="Table10ptHeading-ASDEFCON"/>
              <w:rPr>
                <w:b w:val="0"/>
              </w:rPr>
            </w:pPr>
            <w:r>
              <w:rPr>
                <w:b w:val="0"/>
              </w:rPr>
              <w:t>A</w:t>
            </w:r>
            <w:r w:rsidRPr="00C8522D">
              <w:rPr>
                <w:b w:val="0"/>
              </w:rPr>
              <w:t>I</w:t>
            </w:r>
            <w:r w:rsidR="00EC4452">
              <w:rPr>
                <w:b w:val="0"/>
              </w:rPr>
              <w:t>A</w:t>
            </w:r>
            <w:r w:rsidRPr="00C8522D">
              <w:rPr>
                <w:b w:val="0"/>
              </w:rPr>
              <w:t>-01</w:t>
            </w:r>
          </w:p>
        </w:tc>
        <w:tc>
          <w:tcPr>
            <w:tcW w:w="3543" w:type="dxa"/>
            <w:shd w:val="clear" w:color="auto" w:fill="auto"/>
          </w:tcPr>
          <w:p w14:paraId="754917C5" w14:textId="77777777" w:rsidR="00D34FDC" w:rsidRPr="00C8522D" w:rsidRDefault="00D34FDC" w:rsidP="005D65D1">
            <w:pPr>
              <w:pStyle w:val="ASDEFCONNormal"/>
              <w:jc w:val="left"/>
            </w:pPr>
          </w:p>
        </w:tc>
        <w:tc>
          <w:tcPr>
            <w:tcW w:w="1704" w:type="dxa"/>
          </w:tcPr>
          <w:p w14:paraId="754917C6" w14:textId="77777777" w:rsidR="00D34FDC" w:rsidRPr="00C8522D" w:rsidRDefault="00D34FDC" w:rsidP="005D65D1">
            <w:pPr>
              <w:pStyle w:val="ASDEFCONNormal"/>
              <w:jc w:val="left"/>
            </w:pPr>
          </w:p>
        </w:tc>
        <w:tc>
          <w:tcPr>
            <w:tcW w:w="1095" w:type="dxa"/>
          </w:tcPr>
          <w:p w14:paraId="754917C7" w14:textId="77777777" w:rsidR="00D34FDC" w:rsidRPr="00C8522D" w:rsidRDefault="00D34FDC" w:rsidP="005D65D1">
            <w:pPr>
              <w:pStyle w:val="ASDEFCONNormal"/>
              <w:jc w:val="left"/>
            </w:pPr>
          </w:p>
        </w:tc>
        <w:tc>
          <w:tcPr>
            <w:tcW w:w="1095" w:type="dxa"/>
            <w:shd w:val="clear" w:color="auto" w:fill="auto"/>
          </w:tcPr>
          <w:p w14:paraId="754917C8" w14:textId="77777777" w:rsidR="00D34FDC" w:rsidRPr="00C8522D" w:rsidRDefault="00D34FDC" w:rsidP="005D65D1">
            <w:pPr>
              <w:pStyle w:val="ASDEFCONNormal"/>
              <w:jc w:val="right"/>
            </w:pPr>
          </w:p>
        </w:tc>
        <w:tc>
          <w:tcPr>
            <w:tcW w:w="1095" w:type="dxa"/>
          </w:tcPr>
          <w:p w14:paraId="754917C9" w14:textId="77777777" w:rsidR="00D34FDC" w:rsidRPr="00C8522D" w:rsidRDefault="00D34FDC" w:rsidP="005D65D1">
            <w:pPr>
              <w:pStyle w:val="ASDEFCONNormal"/>
              <w:jc w:val="left"/>
            </w:pPr>
          </w:p>
        </w:tc>
        <w:tc>
          <w:tcPr>
            <w:tcW w:w="1095" w:type="dxa"/>
          </w:tcPr>
          <w:p w14:paraId="754917CA" w14:textId="77777777" w:rsidR="00D34FDC" w:rsidRPr="00C8522D" w:rsidRDefault="00D34FDC" w:rsidP="005D65D1">
            <w:pPr>
              <w:pStyle w:val="ASDEFCONNormal"/>
              <w:jc w:val="center"/>
            </w:pPr>
          </w:p>
        </w:tc>
        <w:tc>
          <w:tcPr>
            <w:tcW w:w="1095" w:type="dxa"/>
          </w:tcPr>
          <w:p w14:paraId="754917CB" w14:textId="77777777" w:rsidR="00D34FDC" w:rsidRPr="00C8522D" w:rsidRDefault="00D34FDC" w:rsidP="005D65D1">
            <w:pPr>
              <w:pStyle w:val="ASDEFCONNormal"/>
              <w:jc w:val="center"/>
            </w:pPr>
          </w:p>
        </w:tc>
        <w:tc>
          <w:tcPr>
            <w:tcW w:w="2319" w:type="dxa"/>
          </w:tcPr>
          <w:p w14:paraId="754917CC" w14:textId="77777777" w:rsidR="00D34FDC" w:rsidRPr="00C8522D" w:rsidRDefault="00D34FDC" w:rsidP="005D65D1">
            <w:pPr>
              <w:pStyle w:val="ASDEFCONNormal"/>
              <w:jc w:val="left"/>
            </w:pPr>
          </w:p>
        </w:tc>
      </w:tr>
      <w:tr w:rsidR="00D34FDC" w:rsidRPr="00B85567" w14:paraId="754917D7" w14:textId="77777777" w:rsidTr="005D65D1">
        <w:trPr>
          <w:jc w:val="center"/>
        </w:trPr>
        <w:tc>
          <w:tcPr>
            <w:tcW w:w="983" w:type="dxa"/>
            <w:tcBorders>
              <w:bottom w:val="single" w:sz="8" w:space="0" w:color="auto"/>
            </w:tcBorders>
            <w:shd w:val="clear" w:color="auto" w:fill="DDDDDD"/>
            <w:vAlign w:val="center"/>
          </w:tcPr>
          <w:p w14:paraId="754917CE" w14:textId="64B75D57" w:rsidR="00D34FDC" w:rsidRPr="00C8522D" w:rsidRDefault="00D34FDC" w:rsidP="005D65D1">
            <w:pPr>
              <w:pStyle w:val="Table10ptHeading-ASDEFCON"/>
              <w:rPr>
                <w:b w:val="0"/>
              </w:rPr>
            </w:pPr>
            <w:r>
              <w:rPr>
                <w:b w:val="0"/>
              </w:rPr>
              <w:t>A</w:t>
            </w:r>
            <w:r w:rsidRPr="00C8522D">
              <w:rPr>
                <w:b w:val="0"/>
              </w:rPr>
              <w:t>I</w:t>
            </w:r>
            <w:r w:rsidR="00EC4452">
              <w:rPr>
                <w:b w:val="0"/>
              </w:rPr>
              <w:t>A</w:t>
            </w:r>
            <w:r w:rsidRPr="00C8522D">
              <w:rPr>
                <w:b w:val="0"/>
              </w:rPr>
              <w:t>-02</w:t>
            </w:r>
          </w:p>
        </w:tc>
        <w:tc>
          <w:tcPr>
            <w:tcW w:w="3543" w:type="dxa"/>
            <w:shd w:val="clear" w:color="auto" w:fill="auto"/>
          </w:tcPr>
          <w:p w14:paraId="754917CF" w14:textId="77777777" w:rsidR="00D34FDC" w:rsidRPr="00C8522D" w:rsidRDefault="00D34FDC" w:rsidP="005D65D1">
            <w:pPr>
              <w:pStyle w:val="ASDEFCONNormal"/>
              <w:jc w:val="left"/>
            </w:pPr>
          </w:p>
        </w:tc>
        <w:tc>
          <w:tcPr>
            <w:tcW w:w="1704" w:type="dxa"/>
          </w:tcPr>
          <w:p w14:paraId="754917D0" w14:textId="77777777" w:rsidR="00D34FDC" w:rsidRPr="00C8522D" w:rsidRDefault="00D34FDC" w:rsidP="005D65D1">
            <w:pPr>
              <w:pStyle w:val="ASDEFCONNormal"/>
              <w:jc w:val="left"/>
            </w:pPr>
          </w:p>
        </w:tc>
        <w:tc>
          <w:tcPr>
            <w:tcW w:w="1095" w:type="dxa"/>
          </w:tcPr>
          <w:p w14:paraId="754917D1" w14:textId="77777777" w:rsidR="00D34FDC" w:rsidRPr="00C8522D" w:rsidRDefault="00D34FDC" w:rsidP="005D65D1">
            <w:pPr>
              <w:pStyle w:val="ASDEFCONNormal"/>
              <w:jc w:val="left"/>
            </w:pPr>
          </w:p>
        </w:tc>
        <w:tc>
          <w:tcPr>
            <w:tcW w:w="1095" w:type="dxa"/>
            <w:shd w:val="clear" w:color="auto" w:fill="auto"/>
          </w:tcPr>
          <w:p w14:paraId="754917D2" w14:textId="77777777" w:rsidR="00D34FDC" w:rsidRPr="00C8522D" w:rsidRDefault="00D34FDC" w:rsidP="005D65D1">
            <w:pPr>
              <w:pStyle w:val="ASDEFCONNormal"/>
              <w:jc w:val="right"/>
            </w:pPr>
          </w:p>
        </w:tc>
        <w:tc>
          <w:tcPr>
            <w:tcW w:w="1095" w:type="dxa"/>
            <w:tcBorders>
              <w:bottom w:val="single" w:sz="8" w:space="0" w:color="auto"/>
            </w:tcBorders>
          </w:tcPr>
          <w:p w14:paraId="754917D3" w14:textId="77777777" w:rsidR="00D34FDC" w:rsidRPr="00C8522D" w:rsidRDefault="00D34FDC" w:rsidP="005D65D1">
            <w:pPr>
              <w:pStyle w:val="ASDEFCONNormal"/>
              <w:jc w:val="left"/>
            </w:pPr>
          </w:p>
        </w:tc>
        <w:tc>
          <w:tcPr>
            <w:tcW w:w="1095" w:type="dxa"/>
            <w:tcBorders>
              <w:bottom w:val="single" w:sz="8" w:space="0" w:color="auto"/>
            </w:tcBorders>
          </w:tcPr>
          <w:p w14:paraId="754917D4" w14:textId="77777777" w:rsidR="00D34FDC" w:rsidRPr="00C8522D" w:rsidRDefault="00D34FDC" w:rsidP="005D65D1">
            <w:pPr>
              <w:pStyle w:val="ASDEFCONNormal"/>
              <w:jc w:val="center"/>
            </w:pPr>
          </w:p>
        </w:tc>
        <w:tc>
          <w:tcPr>
            <w:tcW w:w="1095" w:type="dxa"/>
            <w:tcBorders>
              <w:bottom w:val="single" w:sz="8" w:space="0" w:color="auto"/>
            </w:tcBorders>
          </w:tcPr>
          <w:p w14:paraId="754917D5" w14:textId="77777777" w:rsidR="00D34FDC" w:rsidRPr="00C8522D" w:rsidRDefault="00D34FDC" w:rsidP="005D65D1">
            <w:pPr>
              <w:pStyle w:val="ASDEFCONNormal"/>
              <w:jc w:val="center"/>
            </w:pPr>
          </w:p>
        </w:tc>
        <w:tc>
          <w:tcPr>
            <w:tcW w:w="2319" w:type="dxa"/>
            <w:tcBorders>
              <w:bottom w:val="single" w:sz="8" w:space="0" w:color="auto"/>
            </w:tcBorders>
          </w:tcPr>
          <w:p w14:paraId="754917D6" w14:textId="77777777" w:rsidR="00D34FDC" w:rsidRPr="00C8522D" w:rsidRDefault="00D34FDC" w:rsidP="005D65D1">
            <w:pPr>
              <w:pStyle w:val="ASDEFCONNormal"/>
              <w:jc w:val="left"/>
            </w:pPr>
          </w:p>
        </w:tc>
      </w:tr>
      <w:tr w:rsidR="00D34FDC" w:rsidRPr="00B85567" w14:paraId="754917E1" w14:textId="77777777" w:rsidTr="005D65D1">
        <w:trPr>
          <w:jc w:val="center"/>
        </w:trPr>
        <w:tc>
          <w:tcPr>
            <w:tcW w:w="983" w:type="dxa"/>
            <w:tcBorders>
              <w:bottom w:val="single" w:sz="8" w:space="0" w:color="auto"/>
            </w:tcBorders>
            <w:shd w:val="clear" w:color="auto" w:fill="D9D9D9"/>
            <w:vAlign w:val="center"/>
          </w:tcPr>
          <w:p w14:paraId="754917D8" w14:textId="23F7AAA5" w:rsidR="00D34FDC" w:rsidRPr="00C8522D" w:rsidRDefault="00D34FDC" w:rsidP="005D65D1">
            <w:pPr>
              <w:pStyle w:val="Table10ptHeading-ASDEFCON"/>
              <w:rPr>
                <w:b w:val="0"/>
              </w:rPr>
            </w:pPr>
            <w:r>
              <w:rPr>
                <w:b w:val="0"/>
              </w:rPr>
              <w:t>A</w:t>
            </w:r>
            <w:r w:rsidRPr="00C8522D">
              <w:rPr>
                <w:b w:val="0"/>
              </w:rPr>
              <w:t>I</w:t>
            </w:r>
            <w:r w:rsidR="00EC4452">
              <w:rPr>
                <w:b w:val="0"/>
              </w:rPr>
              <w:t>A</w:t>
            </w:r>
            <w:r w:rsidRPr="00C8522D">
              <w:rPr>
                <w:b w:val="0"/>
              </w:rPr>
              <w:t>-03</w:t>
            </w:r>
          </w:p>
        </w:tc>
        <w:tc>
          <w:tcPr>
            <w:tcW w:w="3543" w:type="dxa"/>
            <w:tcBorders>
              <w:bottom w:val="single" w:sz="8" w:space="0" w:color="auto"/>
            </w:tcBorders>
          </w:tcPr>
          <w:p w14:paraId="754917D9" w14:textId="77777777" w:rsidR="00D34FDC" w:rsidRPr="00C8522D" w:rsidRDefault="00D34FDC" w:rsidP="005D65D1">
            <w:pPr>
              <w:pStyle w:val="ASDEFCONNormal"/>
              <w:jc w:val="left"/>
            </w:pPr>
          </w:p>
        </w:tc>
        <w:tc>
          <w:tcPr>
            <w:tcW w:w="1704" w:type="dxa"/>
            <w:tcBorders>
              <w:bottom w:val="single" w:sz="8" w:space="0" w:color="auto"/>
            </w:tcBorders>
          </w:tcPr>
          <w:p w14:paraId="754917DA" w14:textId="77777777" w:rsidR="00D34FDC" w:rsidRPr="00C8522D" w:rsidRDefault="00D34FDC" w:rsidP="005D65D1">
            <w:pPr>
              <w:pStyle w:val="ASDEFCONNormal"/>
              <w:jc w:val="left"/>
            </w:pPr>
          </w:p>
        </w:tc>
        <w:tc>
          <w:tcPr>
            <w:tcW w:w="1095" w:type="dxa"/>
            <w:tcBorders>
              <w:bottom w:val="single" w:sz="8" w:space="0" w:color="auto"/>
            </w:tcBorders>
          </w:tcPr>
          <w:p w14:paraId="754917DB" w14:textId="77777777" w:rsidR="00D34FDC" w:rsidRPr="00C8522D" w:rsidRDefault="00D34FDC" w:rsidP="005D65D1">
            <w:pPr>
              <w:pStyle w:val="ASDEFCONNormal"/>
              <w:jc w:val="left"/>
            </w:pPr>
          </w:p>
        </w:tc>
        <w:tc>
          <w:tcPr>
            <w:tcW w:w="1095" w:type="dxa"/>
            <w:tcBorders>
              <w:bottom w:val="single" w:sz="8" w:space="0" w:color="auto"/>
            </w:tcBorders>
          </w:tcPr>
          <w:p w14:paraId="754917DC" w14:textId="77777777" w:rsidR="00D34FDC" w:rsidRPr="00C8522D" w:rsidRDefault="00D34FDC" w:rsidP="005D65D1">
            <w:pPr>
              <w:pStyle w:val="ASDEFCONNormal"/>
              <w:jc w:val="right"/>
            </w:pPr>
          </w:p>
        </w:tc>
        <w:tc>
          <w:tcPr>
            <w:tcW w:w="1095" w:type="dxa"/>
            <w:tcBorders>
              <w:bottom w:val="single" w:sz="8" w:space="0" w:color="auto"/>
            </w:tcBorders>
            <w:shd w:val="clear" w:color="auto" w:fill="auto"/>
          </w:tcPr>
          <w:p w14:paraId="754917DD" w14:textId="77777777" w:rsidR="00D34FDC" w:rsidRPr="00C8522D" w:rsidRDefault="00D34FDC" w:rsidP="005D65D1">
            <w:pPr>
              <w:pStyle w:val="ASDEFCONNormal"/>
              <w:jc w:val="left"/>
            </w:pPr>
          </w:p>
        </w:tc>
        <w:tc>
          <w:tcPr>
            <w:tcW w:w="1095" w:type="dxa"/>
            <w:tcBorders>
              <w:bottom w:val="single" w:sz="8" w:space="0" w:color="auto"/>
            </w:tcBorders>
          </w:tcPr>
          <w:p w14:paraId="754917DE" w14:textId="77777777" w:rsidR="00D34FDC" w:rsidRPr="00C8522D" w:rsidRDefault="00D34FDC" w:rsidP="005D65D1">
            <w:pPr>
              <w:pStyle w:val="ASDEFCONNormal"/>
              <w:jc w:val="center"/>
            </w:pPr>
          </w:p>
        </w:tc>
        <w:tc>
          <w:tcPr>
            <w:tcW w:w="1095" w:type="dxa"/>
            <w:tcBorders>
              <w:bottom w:val="single" w:sz="8" w:space="0" w:color="auto"/>
            </w:tcBorders>
          </w:tcPr>
          <w:p w14:paraId="754917DF" w14:textId="77777777" w:rsidR="00D34FDC" w:rsidRPr="00C8522D" w:rsidRDefault="00D34FDC" w:rsidP="005D65D1">
            <w:pPr>
              <w:pStyle w:val="ASDEFCONNormal"/>
              <w:jc w:val="center"/>
            </w:pPr>
          </w:p>
        </w:tc>
        <w:tc>
          <w:tcPr>
            <w:tcW w:w="2319" w:type="dxa"/>
            <w:tcBorders>
              <w:bottom w:val="single" w:sz="8" w:space="0" w:color="auto"/>
            </w:tcBorders>
          </w:tcPr>
          <w:p w14:paraId="754917E0" w14:textId="77777777" w:rsidR="00D34FDC" w:rsidRPr="00C8522D" w:rsidRDefault="00D34FDC" w:rsidP="005D65D1">
            <w:pPr>
              <w:pStyle w:val="ASDEFCONNormal"/>
              <w:jc w:val="left"/>
            </w:pPr>
          </w:p>
        </w:tc>
      </w:tr>
      <w:tr w:rsidR="00D34FDC" w:rsidRPr="00B85567" w14:paraId="754917EB" w14:textId="77777777" w:rsidTr="005D65D1">
        <w:trPr>
          <w:jc w:val="center"/>
        </w:trPr>
        <w:tc>
          <w:tcPr>
            <w:tcW w:w="983" w:type="dxa"/>
            <w:vAlign w:val="center"/>
          </w:tcPr>
          <w:p w14:paraId="754917E2" w14:textId="77777777" w:rsidR="00D34FDC" w:rsidRPr="00B85567" w:rsidRDefault="00D34FDC" w:rsidP="005D65D1">
            <w:pPr>
              <w:pStyle w:val="Table10ptHeading-ASDEFCON"/>
            </w:pPr>
            <w:r w:rsidRPr="00B85567">
              <w:t>TOTAL</w:t>
            </w:r>
          </w:p>
        </w:tc>
        <w:tc>
          <w:tcPr>
            <w:tcW w:w="3543" w:type="dxa"/>
          </w:tcPr>
          <w:p w14:paraId="754917E3" w14:textId="77777777" w:rsidR="00D34FDC" w:rsidRPr="00B85567" w:rsidRDefault="00D34FDC" w:rsidP="005D65D1">
            <w:pPr>
              <w:pStyle w:val="ASDEFCONNormal"/>
              <w:jc w:val="left"/>
              <w:rPr>
                <w:b/>
              </w:rPr>
            </w:pPr>
          </w:p>
        </w:tc>
        <w:tc>
          <w:tcPr>
            <w:tcW w:w="1704" w:type="dxa"/>
          </w:tcPr>
          <w:p w14:paraId="754917E4" w14:textId="77777777" w:rsidR="00D34FDC" w:rsidRPr="00B85567" w:rsidRDefault="00D34FDC" w:rsidP="005D65D1">
            <w:pPr>
              <w:pStyle w:val="ASDEFCONNormal"/>
              <w:jc w:val="left"/>
              <w:rPr>
                <w:b/>
              </w:rPr>
            </w:pPr>
          </w:p>
        </w:tc>
        <w:tc>
          <w:tcPr>
            <w:tcW w:w="1095" w:type="dxa"/>
          </w:tcPr>
          <w:p w14:paraId="754917E5" w14:textId="77777777" w:rsidR="00D34FDC" w:rsidRPr="00B85567" w:rsidRDefault="00D34FDC" w:rsidP="005D65D1">
            <w:pPr>
              <w:pStyle w:val="ASDEFCONNormal"/>
              <w:jc w:val="left"/>
              <w:rPr>
                <w:b/>
              </w:rPr>
            </w:pPr>
          </w:p>
        </w:tc>
        <w:tc>
          <w:tcPr>
            <w:tcW w:w="1095" w:type="dxa"/>
          </w:tcPr>
          <w:p w14:paraId="754917E6" w14:textId="77777777" w:rsidR="00D34FDC" w:rsidRPr="00B85567" w:rsidRDefault="00D34FDC" w:rsidP="005D65D1">
            <w:pPr>
              <w:pStyle w:val="ASDEFCONNormal"/>
              <w:jc w:val="right"/>
              <w:rPr>
                <w:b/>
              </w:rPr>
            </w:pPr>
          </w:p>
        </w:tc>
        <w:tc>
          <w:tcPr>
            <w:tcW w:w="1095" w:type="dxa"/>
            <w:shd w:val="clear" w:color="auto" w:fill="auto"/>
          </w:tcPr>
          <w:p w14:paraId="754917E7" w14:textId="77777777" w:rsidR="00D34FDC" w:rsidRPr="00B85567" w:rsidRDefault="00D34FDC" w:rsidP="005D65D1">
            <w:pPr>
              <w:pStyle w:val="ASDEFCONNormal"/>
              <w:jc w:val="left"/>
              <w:rPr>
                <w:b/>
              </w:rPr>
            </w:pPr>
          </w:p>
        </w:tc>
        <w:tc>
          <w:tcPr>
            <w:tcW w:w="1095" w:type="dxa"/>
          </w:tcPr>
          <w:p w14:paraId="754917E8" w14:textId="77777777" w:rsidR="00D34FDC" w:rsidRPr="00B85567" w:rsidRDefault="00D34FDC" w:rsidP="005D65D1">
            <w:pPr>
              <w:pStyle w:val="ASDEFCONNormal"/>
              <w:jc w:val="center"/>
              <w:rPr>
                <w:b/>
              </w:rPr>
            </w:pPr>
          </w:p>
        </w:tc>
        <w:tc>
          <w:tcPr>
            <w:tcW w:w="1095" w:type="dxa"/>
          </w:tcPr>
          <w:p w14:paraId="754917E9" w14:textId="77777777" w:rsidR="00D34FDC" w:rsidRPr="00B85567" w:rsidRDefault="00D34FDC" w:rsidP="005D65D1">
            <w:pPr>
              <w:pStyle w:val="ASDEFCONNormal"/>
              <w:jc w:val="center"/>
              <w:rPr>
                <w:b/>
              </w:rPr>
            </w:pPr>
          </w:p>
        </w:tc>
        <w:tc>
          <w:tcPr>
            <w:tcW w:w="2319" w:type="dxa"/>
          </w:tcPr>
          <w:p w14:paraId="754917EA" w14:textId="77777777" w:rsidR="00D34FDC" w:rsidRPr="00B85567" w:rsidRDefault="00D34FDC" w:rsidP="005D65D1">
            <w:pPr>
              <w:pStyle w:val="ASDEFCONNormal"/>
              <w:jc w:val="left"/>
              <w:rPr>
                <w:b/>
              </w:rPr>
            </w:pPr>
          </w:p>
        </w:tc>
      </w:tr>
    </w:tbl>
    <w:p w14:paraId="754917EC" w14:textId="77777777" w:rsidR="00D34FDC" w:rsidRDefault="00D34FDC" w:rsidP="00D34FDC">
      <w:pPr>
        <w:pStyle w:val="ASDEFCONNormal"/>
      </w:pPr>
    </w:p>
    <w:p w14:paraId="754917ED" w14:textId="603FE949" w:rsidR="00D34FDC" w:rsidRPr="004470E0" w:rsidRDefault="00D34FDC" w:rsidP="00D34FDC">
      <w:pPr>
        <w:pStyle w:val="NoteToTenderers-ASDEFCON"/>
      </w:pPr>
      <w:r>
        <w:t>Note to tenderers:  When preparing this Schedule, include all</w:t>
      </w:r>
      <w:r w:rsidRPr="002E1B9F">
        <w:t xml:space="preserve"> S</w:t>
      </w:r>
      <w:r>
        <w:t xml:space="preserve">ervices.  </w:t>
      </w:r>
      <w:r w:rsidRPr="002E1B9F">
        <w:t xml:space="preserve">If necessary, break the </w:t>
      </w:r>
      <w:r>
        <w:t xml:space="preserve">Australian Industry </w:t>
      </w:r>
      <w:r w:rsidR="00583A80">
        <w:t>Capability</w:t>
      </w:r>
      <w:r>
        <w:t xml:space="preserve"> (AI</w:t>
      </w:r>
      <w:r w:rsidR="00583A80">
        <w:t>C</w:t>
      </w:r>
      <w:r>
        <w:t>)</w:t>
      </w:r>
      <w:r w:rsidRPr="002E1B9F">
        <w:t xml:space="preserve"> Schedule Line Item into sub line items to better describ</w:t>
      </w:r>
      <w:r>
        <w:t xml:space="preserve">e the Australian Industry </w:t>
      </w:r>
      <w:r w:rsidR="00080BC6">
        <w:t>Capability a</w:t>
      </w:r>
      <w:r>
        <w:t>ctivities</w:t>
      </w:r>
      <w:r w:rsidRPr="002E1B9F">
        <w:t>.</w:t>
      </w:r>
      <w:r>
        <w:t xml:space="preserve"> </w:t>
      </w:r>
      <w:r w:rsidRPr="004470E0">
        <w:t xml:space="preserve"> All prices are to be expressed in </w:t>
      </w:r>
      <w:r w:rsidRPr="004470E0">
        <w:rPr>
          <w:u w:val="single"/>
        </w:rPr>
        <w:t>Base Date dollars and be GST exclusive and duty free</w:t>
      </w:r>
      <w:r w:rsidRPr="004470E0">
        <w:t xml:space="preserve">. </w:t>
      </w:r>
      <w:r>
        <w:t xml:space="preserve"> </w:t>
      </w:r>
      <w:r w:rsidRPr="004470E0">
        <w:t>All nominated Australian companies listed in Table 1 are to be registered with an Australian Business Number (ABN), except for those companies that are resident in New Zealand</w:t>
      </w:r>
      <w:r>
        <w:t>, which are to be registered with a New Zealand Business Number (NZBN)</w:t>
      </w:r>
      <w:r w:rsidRPr="004470E0">
        <w:t>.</w:t>
      </w:r>
    </w:p>
    <w:p w14:paraId="754917EE" w14:textId="77777777" w:rsidR="00D34FDC" w:rsidRDefault="00D34FDC" w:rsidP="00D34FDC">
      <w:pPr>
        <w:pStyle w:val="NoteToTenderersList-ASDEFCON"/>
        <w:numPr>
          <w:ilvl w:val="0"/>
          <w:numId w:val="4"/>
        </w:numPr>
      </w:pPr>
      <w:r>
        <w:t>I</w:t>
      </w:r>
      <w:r w:rsidRPr="00A927BA">
        <w:t xml:space="preserve">dentification number for </w:t>
      </w:r>
      <w:r>
        <w:t>each entry.</w:t>
      </w:r>
    </w:p>
    <w:p w14:paraId="754917EF" w14:textId="77777777" w:rsidR="00D34FDC" w:rsidRDefault="00D34FDC" w:rsidP="00D34FDC">
      <w:pPr>
        <w:pStyle w:val="NoteToTenderersList-ASDEFCON"/>
        <w:tabs>
          <w:tab w:val="clear" w:pos="360"/>
          <w:tab w:val="num" w:pos="851"/>
        </w:tabs>
        <w:ind w:left="851" w:hanging="851"/>
      </w:pPr>
      <w:r>
        <w:t>AIA Description</w:t>
      </w:r>
      <w:r w:rsidRPr="002E1B9F">
        <w:t xml:space="preserve"> – </w:t>
      </w:r>
      <w:r>
        <w:t xml:space="preserve">a description of the Services to be performed by Australian Industry. </w:t>
      </w:r>
      <w:r w:rsidRPr="004470E0">
        <w:t xml:space="preserve"> </w:t>
      </w:r>
      <w:r w:rsidRPr="00E07196">
        <w:t xml:space="preserve">A separate </w:t>
      </w:r>
      <w:r>
        <w:t>line in the A</w:t>
      </w:r>
      <w:r w:rsidRPr="00E07196">
        <w:t xml:space="preserve">IA </w:t>
      </w:r>
      <w:r>
        <w:t xml:space="preserve">schedule </w:t>
      </w:r>
      <w:r w:rsidRPr="00E07196">
        <w:t>is required for each work package and company.</w:t>
      </w:r>
    </w:p>
    <w:p w14:paraId="754917F0" w14:textId="77777777" w:rsidR="00D34FDC" w:rsidRPr="002E1B9F" w:rsidRDefault="00D34FDC" w:rsidP="00D34FDC">
      <w:pPr>
        <w:pStyle w:val="NoteToTenderersList-ASDEFCON"/>
        <w:tabs>
          <w:tab w:val="clear" w:pos="360"/>
          <w:tab w:val="num" w:pos="851"/>
        </w:tabs>
        <w:ind w:left="851" w:hanging="851"/>
      </w:pPr>
      <w:r w:rsidRPr="00A927BA">
        <w:t xml:space="preserve">Australian </w:t>
      </w:r>
      <w:r>
        <w:t xml:space="preserve">or New Zealand </w:t>
      </w:r>
      <w:r w:rsidRPr="00A927BA">
        <w:t xml:space="preserve">company undertaking the </w:t>
      </w:r>
      <w:r>
        <w:t>activity (‘various’ is not an acceptable response)</w:t>
      </w:r>
      <w:r w:rsidRPr="00A927BA">
        <w:t>.</w:t>
      </w:r>
      <w:r w:rsidRPr="002E1B9F">
        <w:t xml:space="preserve"> </w:t>
      </w:r>
      <w:r>
        <w:t xml:space="preserve"> </w:t>
      </w:r>
      <w:r w:rsidRPr="002E1B9F">
        <w:t>If more than one company, detail the value of the work to each company</w:t>
      </w:r>
      <w:r>
        <w:t xml:space="preserve"> on a separate line</w:t>
      </w:r>
      <w:r w:rsidRPr="002E1B9F">
        <w:t>.</w:t>
      </w:r>
      <w:r>
        <w:t xml:space="preserve">  Include the ACN (or ARBN) and ABN, or NZBN, as applicable.</w:t>
      </w:r>
    </w:p>
    <w:p w14:paraId="754917F1" w14:textId="32B1368F" w:rsidR="00D34FDC" w:rsidRPr="00EA03B9" w:rsidRDefault="00D34FDC" w:rsidP="00D34FDC">
      <w:pPr>
        <w:pStyle w:val="NoteToTenderersList-ASDEFCON"/>
        <w:tabs>
          <w:tab w:val="clear" w:pos="360"/>
          <w:tab w:val="num" w:pos="851"/>
        </w:tabs>
        <w:ind w:left="851" w:hanging="851"/>
      </w:pPr>
      <w:r w:rsidRPr="00EA03B9">
        <w:t xml:space="preserve">Each line item in the table (above) should be traceable to a line item in </w:t>
      </w:r>
      <w:r w:rsidR="00A5655B">
        <w:t>the relevant Work Order</w:t>
      </w:r>
      <w:r w:rsidRPr="00EA03B9">
        <w:t>.</w:t>
      </w:r>
    </w:p>
    <w:p w14:paraId="754917F2" w14:textId="5386E749" w:rsidR="00D34FDC" w:rsidRDefault="00D34FDC" w:rsidP="00D34FDC">
      <w:pPr>
        <w:pStyle w:val="NoteToTenderersList-ASDEFCON"/>
        <w:tabs>
          <w:tab w:val="clear" w:pos="360"/>
          <w:tab w:val="num" w:pos="851"/>
        </w:tabs>
        <w:ind w:left="851" w:hanging="851"/>
      </w:pPr>
      <w:r w:rsidRPr="00A927BA">
        <w:t xml:space="preserve">Value of work performed by Australian </w:t>
      </w:r>
      <w:r>
        <w:t>I</w:t>
      </w:r>
      <w:r w:rsidRPr="00A927BA">
        <w:t>ndustry</w:t>
      </w:r>
      <w:r>
        <w:t xml:space="preserve">.  </w:t>
      </w:r>
      <w:r w:rsidRPr="004470E0">
        <w:t xml:space="preserve">It is the (GST exclusive) dollar value of work committed in the </w:t>
      </w:r>
      <w:r w:rsidR="00A5655B">
        <w:t>Work Order</w:t>
      </w:r>
      <w:r w:rsidR="00A5655B" w:rsidRPr="004470E0">
        <w:t xml:space="preserve"> </w:t>
      </w:r>
      <w:r w:rsidRPr="004470E0">
        <w:t>that will be performed by Australian Industry.</w:t>
      </w:r>
    </w:p>
    <w:p w14:paraId="754917F3" w14:textId="77777777" w:rsidR="00D34FDC" w:rsidRDefault="00D34FDC" w:rsidP="00D34FDC">
      <w:pPr>
        <w:pStyle w:val="NoteToTenderersList-ASDEFCON"/>
        <w:tabs>
          <w:tab w:val="clear" w:pos="360"/>
          <w:tab w:val="num" w:pos="851"/>
        </w:tabs>
        <w:ind w:left="851" w:hanging="851"/>
      </w:pPr>
      <w:r>
        <w:t>Set out the location (including the postcode) where the majority of the AIA will be performed.</w:t>
      </w:r>
    </w:p>
    <w:p w14:paraId="754917F4" w14:textId="77777777" w:rsidR="00D34FDC" w:rsidRDefault="00D34FDC" w:rsidP="00D34FDC">
      <w:pPr>
        <w:pStyle w:val="NoteToTenderersList-ASDEFCON"/>
        <w:tabs>
          <w:tab w:val="clear" w:pos="360"/>
          <w:tab w:val="num" w:pos="851"/>
        </w:tabs>
        <w:ind w:left="851" w:hanging="851"/>
      </w:pPr>
      <w:r>
        <w:t>Set out whether the entity is a Small to Medium Enterprise.</w:t>
      </w:r>
    </w:p>
    <w:p w14:paraId="754917F5" w14:textId="77777777" w:rsidR="00D34FDC" w:rsidRDefault="00D34FDC" w:rsidP="00D34FDC">
      <w:pPr>
        <w:pStyle w:val="NoteToTenderersList-ASDEFCON"/>
        <w:tabs>
          <w:tab w:val="clear" w:pos="360"/>
          <w:tab w:val="num" w:pos="851"/>
        </w:tabs>
        <w:ind w:left="851" w:hanging="851"/>
      </w:pPr>
      <w:r>
        <w:t>Set out whether the entity is an Indigenous Enterprise.</w:t>
      </w:r>
    </w:p>
    <w:p w14:paraId="754917F6" w14:textId="7963C577" w:rsidR="00D34FDC" w:rsidRDefault="00D34FDC" w:rsidP="00D34FDC">
      <w:pPr>
        <w:pStyle w:val="NoteToTenderersList-ASDEFCON"/>
        <w:tabs>
          <w:tab w:val="clear" w:pos="360"/>
          <w:tab w:val="num" w:pos="851"/>
        </w:tabs>
        <w:ind w:left="851" w:hanging="851"/>
      </w:pPr>
      <w:r>
        <w:t xml:space="preserve">Set out whether the entity is a local business and brief justification as to why the entity qualifies as a ‘local business’ with reference to the </w:t>
      </w:r>
      <w:r w:rsidR="002106D1">
        <w:t>t</w:t>
      </w:r>
      <w:r>
        <w:t>enderer’s criteria set out in response to clause 1.1c above.</w:t>
      </w:r>
    </w:p>
    <w:p w14:paraId="754917F7" w14:textId="77777777" w:rsidR="00B843DD" w:rsidRDefault="001F25C8"/>
    <w:sectPr w:rsidR="00B843DD" w:rsidSect="00D34FDC">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2AF5C6" w14:textId="77777777" w:rsidR="008A4675" w:rsidRDefault="008A4675">
      <w:pPr>
        <w:spacing w:after="0"/>
      </w:pPr>
      <w:r>
        <w:separator/>
      </w:r>
    </w:p>
  </w:endnote>
  <w:endnote w:type="continuationSeparator" w:id="0">
    <w:p w14:paraId="07DFB451" w14:textId="77777777" w:rsidR="008A4675" w:rsidRDefault="008A46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923" w:type="pct"/>
      <w:tblLook w:val="0000" w:firstRow="0" w:lastRow="0" w:firstColumn="0" w:lastColumn="0" w:noHBand="0" w:noVBand="0"/>
    </w:tblPr>
    <w:tblGrid>
      <w:gridCol w:w="3267"/>
      <w:gridCol w:w="5664"/>
    </w:tblGrid>
    <w:tr w:rsidR="00975F43" w14:paraId="754917FA" w14:textId="77777777" w:rsidTr="00723A18">
      <w:trPr>
        <w:trHeight w:val="239"/>
      </w:trPr>
      <w:tc>
        <w:tcPr>
          <w:tcW w:w="1829" w:type="pct"/>
        </w:tcPr>
        <w:p w14:paraId="754917F8" w14:textId="14271CC0" w:rsidR="00975F43" w:rsidRDefault="001F25C8" w:rsidP="004A0505">
          <w:pPr>
            <w:pStyle w:val="ASDEFCONHeaderFooterLeft"/>
            <w:rPr>
              <w:rStyle w:val="PageNumber"/>
              <w:szCs w:val="16"/>
            </w:rPr>
          </w:pPr>
        </w:p>
      </w:tc>
      <w:tc>
        <w:tcPr>
          <w:tcW w:w="3171" w:type="pct"/>
        </w:tcPr>
        <w:p w14:paraId="754917F9" w14:textId="25EA8AB9" w:rsidR="00975F43" w:rsidRDefault="00D34FDC" w:rsidP="004A0505">
          <w:pPr>
            <w:pStyle w:val="ASDEFCONHeaderFooterRight"/>
            <w:rPr>
              <w:rStyle w:val="PageNumber"/>
              <w:szCs w:val="16"/>
            </w:rPr>
          </w:pPr>
          <w:r w:rsidRPr="00EC26B6">
            <w:rPr>
              <w:rStyle w:val="PageNumber"/>
              <w:szCs w:val="16"/>
            </w:rPr>
            <w:fldChar w:fldCharType="begin"/>
          </w:r>
          <w:r w:rsidRPr="00EC26B6">
            <w:rPr>
              <w:rStyle w:val="PageNumber"/>
              <w:szCs w:val="16"/>
            </w:rPr>
            <w:instrText xml:space="preserve"> PAGE </w:instrText>
          </w:r>
          <w:r w:rsidRPr="00EC26B6">
            <w:rPr>
              <w:rStyle w:val="PageNumber"/>
              <w:szCs w:val="16"/>
            </w:rPr>
            <w:fldChar w:fldCharType="separate"/>
          </w:r>
          <w:r w:rsidR="001F25C8">
            <w:rPr>
              <w:rStyle w:val="PageNumber"/>
              <w:noProof/>
              <w:szCs w:val="16"/>
            </w:rPr>
            <w:t>1</w:t>
          </w:r>
          <w:r w:rsidRPr="00EC26B6">
            <w:rPr>
              <w:rStyle w:val="PageNumber"/>
              <w:szCs w:val="16"/>
            </w:rPr>
            <w:fldChar w:fldCharType="end"/>
          </w:r>
        </w:p>
      </w:tc>
    </w:tr>
    <w:tr w:rsidR="00975F43" w14:paraId="754917FC" w14:textId="77777777" w:rsidTr="00723A18">
      <w:trPr>
        <w:trHeight w:val="319"/>
      </w:trPr>
      <w:tc>
        <w:tcPr>
          <w:tcW w:w="5000" w:type="pct"/>
          <w:gridSpan w:val="2"/>
        </w:tcPr>
        <w:p w14:paraId="754917FB" w14:textId="039B604B" w:rsidR="00975F43" w:rsidRDefault="001F25C8" w:rsidP="004A0505">
          <w:pPr>
            <w:pStyle w:val="ASDEFCONHeaderFooterClassification"/>
            <w:rPr>
              <w:rStyle w:val="PageNumber"/>
              <w:szCs w:val="16"/>
            </w:rPr>
          </w:pPr>
        </w:p>
      </w:tc>
    </w:tr>
  </w:tbl>
  <w:p w14:paraId="754917FD" w14:textId="77777777" w:rsidR="00975F43" w:rsidRDefault="001F25C8" w:rsidP="004A0505">
    <w:pPr>
      <w:pStyle w:val="ASDEFCONHeaderFooter"/>
      <w:tabs>
        <w:tab w:val="right" w:pos="9000"/>
      </w:tabs>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EDC74A" w14:textId="77777777" w:rsidR="008A4675" w:rsidRDefault="008A4675">
      <w:pPr>
        <w:spacing w:after="0"/>
      </w:pPr>
      <w:r>
        <w:separator/>
      </w:r>
    </w:p>
  </w:footnote>
  <w:footnote w:type="continuationSeparator" w:id="0">
    <w:p w14:paraId="22A11F2F" w14:textId="77777777" w:rsidR="008A4675" w:rsidRDefault="008A467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7F6DFB"/>
    <w:multiLevelType w:val="hybridMultilevel"/>
    <w:tmpl w:val="182EF8EA"/>
    <w:lvl w:ilvl="0" w:tplc="34589988">
      <w:start w:val="1"/>
      <w:numFmt w:val="lowerLetter"/>
      <w:pStyle w:val="NoteToTenderersList-ASDEFCON"/>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 w15:restartNumberingAfterBreak="0">
    <w:nsid w:val="615B1AD4"/>
    <w:multiLevelType w:val="hybridMultilevel"/>
    <w:tmpl w:val="C584D4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9A8193E"/>
    <w:multiLevelType w:val="hybridMultilevel"/>
    <w:tmpl w:val="2612F0F4"/>
    <w:lvl w:ilvl="0" w:tplc="F8DE1AEA">
      <w:start w:val="1"/>
      <w:numFmt w:val="bullet"/>
      <w:pStyle w:val="NoteToTenderersBullets-ASDEFCON"/>
      <w:lvlText w:val=""/>
      <w:lvlJc w:val="left"/>
      <w:pPr>
        <w:tabs>
          <w:tab w:val="num" w:pos="851"/>
        </w:tabs>
        <w:ind w:left="851" w:hanging="851"/>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19F1F3F"/>
    <w:multiLevelType w:val="multilevel"/>
    <w:tmpl w:val="503684A4"/>
    <w:lvl w:ilvl="0">
      <w:start w:val="1"/>
      <w:numFmt w:val="decimal"/>
      <w:pStyle w:val="ATTANN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ATTANNLV2-ASDEFCON"/>
      <w:lvlText w:val="%1.%2"/>
      <w:lvlJc w:val="left"/>
      <w:pPr>
        <w:tabs>
          <w:tab w:val="num" w:pos="851"/>
        </w:tabs>
        <w:ind w:left="851" w:hanging="851"/>
      </w:pPr>
      <w:rPr>
        <w:rFonts w:hint="default"/>
      </w:rPr>
    </w:lvl>
    <w:lvl w:ilvl="2">
      <w:start w:val="1"/>
      <w:numFmt w:val="lowerLetter"/>
      <w:pStyle w:val="ATTANNLV3-ASDEFCON"/>
      <w:lvlText w:val="%3."/>
      <w:lvlJc w:val="left"/>
      <w:pPr>
        <w:tabs>
          <w:tab w:val="num" w:pos="1418"/>
        </w:tabs>
        <w:ind w:left="1418" w:hanging="567"/>
      </w:pPr>
      <w:rPr>
        <w:rFonts w:hint="default"/>
      </w:rPr>
    </w:lvl>
    <w:lvl w:ilvl="3">
      <w:start w:val="1"/>
      <w:numFmt w:val="lowerRoman"/>
      <w:pStyle w:val="ATTANNLV4-ASDEFCON"/>
      <w:lvlText w:val="(%4)"/>
      <w:lvlJc w:val="left"/>
      <w:pPr>
        <w:tabs>
          <w:tab w:val="num" w:pos="1985"/>
        </w:tabs>
        <w:ind w:left="1985" w:hanging="567"/>
      </w:pPr>
      <w:rPr>
        <w:rFonts w:hint="default"/>
      </w:rPr>
    </w:lvl>
    <w:lvl w:ilvl="4">
      <w:start w:val="1"/>
      <w:numFmt w:val="none"/>
      <w:lvlText w:val=""/>
      <w:lvlJc w:val="left"/>
      <w:pPr>
        <w:tabs>
          <w:tab w:val="num" w:pos="1985"/>
        </w:tabs>
        <w:ind w:left="2268" w:hanging="2268"/>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2"/>
  </w:num>
  <w:num w:numId="2">
    <w:abstractNumId w:val="0"/>
  </w:num>
  <w:num w:numId="3">
    <w:abstractNumId w:val="3"/>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FDC"/>
    <w:rsid w:val="00080BC6"/>
    <w:rsid w:val="000D459A"/>
    <w:rsid w:val="001127D9"/>
    <w:rsid w:val="001D7898"/>
    <w:rsid w:val="001F25C8"/>
    <w:rsid w:val="002106D1"/>
    <w:rsid w:val="002265F4"/>
    <w:rsid w:val="0025291F"/>
    <w:rsid w:val="00282FCE"/>
    <w:rsid w:val="002C7C21"/>
    <w:rsid w:val="00316EA3"/>
    <w:rsid w:val="003B3BF7"/>
    <w:rsid w:val="00400859"/>
    <w:rsid w:val="004016DA"/>
    <w:rsid w:val="00410E03"/>
    <w:rsid w:val="004537DC"/>
    <w:rsid w:val="0047250E"/>
    <w:rsid w:val="004805CF"/>
    <w:rsid w:val="00537969"/>
    <w:rsid w:val="00583A80"/>
    <w:rsid w:val="00600C74"/>
    <w:rsid w:val="00601E68"/>
    <w:rsid w:val="00687BB2"/>
    <w:rsid w:val="006B2885"/>
    <w:rsid w:val="006C47CA"/>
    <w:rsid w:val="006C7938"/>
    <w:rsid w:val="00701262"/>
    <w:rsid w:val="0073751F"/>
    <w:rsid w:val="00794455"/>
    <w:rsid w:val="007A3AD3"/>
    <w:rsid w:val="007C6044"/>
    <w:rsid w:val="007E11D2"/>
    <w:rsid w:val="00823D10"/>
    <w:rsid w:val="008868CC"/>
    <w:rsid w:val="008A4675"/>
    <w:rsid w:val="0092216E"/>
    <w:rsid w:val="00923497"/>
    <w:rsid w:val="009A2149"/>
    <w:rsid w:val="00A20901"/>
    <w:rsid w:val="00A522D9"/>
    <w:rsid w:val="00A5655B"/>
    <w:rsid w:val="00A87657"/>
    <w:rsid w:val="00AA32FA"/>
    <w:rsid w:val="00AE6F65"/>
    <w:rsid w:val="00B15F9E"/>
    <w:rsid w:val="00B45EBE"/>
    <w:rsid w:val="00B55026"/>
    <w:rsid w:val="00B64832"/>
    <w:rsid w:val="00B75DE7"/>
    <w:rsid w:val="00B94A2E"/>
    <w:rsid w:val="00C07C9B"/>
    <w:rsid w:val="00C21F44"/>
    <w:rsid w:val="00C827FC"/>
    <w:rsid w:val="00CD31B8"/>
    <w:rsid w:val="00CF18D0"/>
    <w:rsid w:val="00D124A9"/>
    <w:rsid w:val="00D34FDC"/>
    <w:rsid w:val="00D82C43"/>
    <w:rsid w:val="00DB6684"/>
    <w:rsid w:val="00EC4452"/>
    <w:rsid w:val="00F02C22"/>
    <w:rsid w:val="00F40E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9178F"/>
  <w15:chartTrackingRefBased/>
  <w15:docId w15:val="{1344394E-00E1-4AAD-8E97-55EBFE8A4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4FDC"/>
    <w:pPr>
      <w:spacing w:after="120" w:line="240" w:lineRule="auto"/>
      <w:jc w:val="both"/>
    </w:pPr>
    <w:rPr>
      <w:rFonts w:ascii="Arial" w:eastAsia="Times New Roman" w:hAnsi="Arial" w:cs="Times New Roman"/>
      <w:sz w:val="20"/>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D34FDC"/>
    <w:pPr>
      <w:spacing w:before="120" w:after="0"/>
      <w:jc w:val="center"/>
    </w:pPr>
    <w:rPr>
      <w:rFonts w:cs="Arial"/>
      <w:b/>
      <w:bCs/>
      <w:szCs w:val="20"/>
    </w:rPr>
  </w:style>
  <w:style w:type="paragraph" w:customStyle="1" w:styleId="ASDEFCONNormal">
    <w:name w:val="ASDEFCON Normal"/>
    <w:link w:val="ASDEFCONNormalChar"/>
    <w:rsid w:val="00D34FDC"/>
    <w:pPr>
      <w:spacing w:after="120" w:line="240" w:lineRule="auto"/>
      <w:jc w:val="both"/>
    </w:pPr>
    <w:rPr>
      <w:rFonts w:ascii="Arial" w:eastAsia="Times New Roman" w:hAnsi="Arial" w:cs="Times New Roman"/>
      <w:color w:val="000000"/>
      <w:sz w:val="20"/>
      <w:szCs w:val="40"/>
      <w:lang w:eastAsia="en-AU"/>
    </w:rPr>
  </w:style>
  <w:style w:type="character" w:customStyle="1" w:styleId="ASDEFCONNormalChar">
    <w:name w:val="ASDEFCON Normal Char"/>
    <w:link w:val="ASDEFCONNormal"/>
    <w:rsid w:val="00D34FDC"/>
    <w:rPr>
      <w:rFonts w:ascii="Arial" w:eastAsia="Times New Roman" w:hAnsi="Arial" w:cs="Times New Roman"/>
      <w:color w:val="000000"/>
      <w:sz w:val="20"/>
      <w:szCs w:val="40"/>
      <w:lang w:eastAsia="en-AU"/>
    </w:rPr>
  </w:style>
  <w:style w:type="character" w:styleId="Hyperlink">
    <w:name w:val="Hyperlink"/>
    <w:uiPriority w:val="99"/>
    <w:unhideWhenUsed/>
    <w:rsid w:val="00D34FDC"/>
    <w:rPr>
      <w:color w:val="0000FF"/>
      <w:u w:val="single"/>
    </w:rPr>
  </w:style>
  <w:style w:type="character" w:styleId="PageNumber">
    <w:name w:val="page number"/>
    <w:basedOn w:val="DefaultParagraphFont"/>
    <w:semiHidden/>
    <w:rsid w:val="00D34FDC"/>
  </w:style>
  <w:style w:type="paragraph" w:customStyle="1" w:styleId="ASDEFCONOption">
    <w:name w:val="ASDEFCON Option"/>
    <w:basedOn w:val="ASDEFCONNormal"/>
    <w:rsid w:val="00D34FDC"/>
    <w:pPr>
      <w:keepNext/>
      <w:spacing w:before="60"/>
    </w:pPr>
    <w:rPr>
      <w:b/>
      <w:i/>
      <w:szCs w:val="24"/>
    </w:rPr>
  </w:style>
  <w:style w:type="paragraph" w:customStyle="1" w:styleId="NoteToDrafters-ASDEFCON">
    <w:name w:val="Note To Drafters - ASDEFCON"/>
    <w:basedOn w:val="ASDEFCONNormal"/>
    <w:rsid w:val="00D34FDC"/>
    <w:pPr>
      <w:keepNext/>
      <w:shd w:val="clear" w:color="auto" w:fill="000000"/>
    </w:pPr>
    <w:rPr>
      <w:b/>
      <w:i/>
      <w:color w:val="FFFFFF"/>
    </w:rPr>
  </w:style>
  <w:style w:type="paragraph" w:customStyle="1" w:styleId="NoteToTenderers-ASDEFCON">
    <w:name w:val="Note To Tenderers - ASDEFCON"/>
    <w:basedOn w:val="ASDEFCONNormal"/>
    <w:link w:val="NoteToTenderers-ASDEFCONChar"/>
    <w:rsid w:val="00D34FDC"/>
    <w:pPr>
      <w:keepNext/>
      <w:shd w:val="pct15" w:color="auto" w:fill="auto"/>
    </w:pPr>
    <w:rPr>
      <w:b/>
      <w:i/>
    </w:rPr>
  </w:style>
  <w:style w:type="paragraph" w:customStyle="1" w:styleId="ASDEFCONTitle">
    <w:name w:val="ASDEFCON Title"/>
    <w:basedOn w:val="Normal"/>
    <w:rsid w:val="00D34FDC"/>
    <w:pPr>
      <w:keepLines/>
      <w:spacing w:before="240"/>
      <w:jc w:val="center"/>
    </w:pPr>
    <w:rPr>
      <w:b/>
      <w:caps/>
    </w:rPr>
  </w:style>
  <w:style w:type="paragraph" w:customStyle="1" w:styleId="ATTANNLV1-ASDEFCON">
    <w:name w:val="ATT/ANN LV1 - ASDEFCON"/>
    <w:basedOn w:val="ASDEFCONNormal"/>
    <w:next w:val="ATTANNLV2-ASDEFCON"/>
    <w:rsid w:val="00D34FDC"/>
    <w:pPr>
      <w:keepNext/>
      <w:keepLines/>
      <w:numPr>
        <w:numId w:val="3"/>
      </w:numPr>
      <w:spacing w:before="240"/>
    </w:pPr>
    <w:rPr>
      <w:rFonts w:ascii="Arial Bold" w:hAnsi="Arial Bold"/>
      <w:b/>
      <w:caps/>
      <w:szCs w:val="24"/>
    </w:rPr>
  </w:style>
  <w:style w:type="paragraph" w:customStyle="1" w:styleId="ATTANNLV2-ASDEFCON">
    <w:name w:val="ATT/ANN LV2 - ASDEFCON"/>
    <w:basedOn w:val="ASDEFCONNormal"/>
    <w:link w:val="ATTANNLV2-ASDEFCONChar"/>
    <w:rsid w:val="00D34FDC"/>
    <w:pPr>
      <w:numPr>
        <w:ilvl w:val="1"/>
        <w:numId w:val="3"/>
      </w:numPr>
    </w:pPr>
    <w:rPr>
      <w:szCs w:val="24"/>
    </w:rPr>
  </w:style>
  <w:style w:type="character" w:customStyle="1" w:styleId="ATTANNLV2-ASDEFCONChar">
    <w:name w:val="ATT/ANN LV2 - ASDEFCON Char"/>
    <w:link w:val="ATTANNLV2-ASDEFCON"/>
    <w:rsid w:val="00D34FDC"/>
    <w:rPr>
      <w:rFonts w:ascii="Arial" w:eastAsia="Times New Roman" w:hAnsi="Arial" w:cs="Times New Roman"/>
      <w:color w:val="000000"/>
      <w:sz w:val="20"/>
      <w:szCs w:val="24"/>
      <w:lang w:eastAsia="en-AU"/>
    </w:rPr>
  </w:style>
  <w:style w:type="paragraph" w:customStyle="1" w:styleId="ATTANNLV3-ASDEFCON">
    <w:name w:val="ATT/ANN LV3 - ASDEFCON"/>
    <w:basedOn w:val="ASDEFCONNormal"/>
    <w:rsid w:val="00D34FDC"/>
    <w:pPr>
      <w:numPr>
        <w:ilvl w:val="2"/>
        <w:numId w:val="3"/>
      </w:numPr>
    </w:pPr>
    <w:rPr>
      <w:szCs w:val="24"/>
    </w:rPr>
  </w:style>
  <w:style w:type="paragraph" w:customStyle="1" w:styleId="ATTANNLV4-ASDEFCON">
    <w:name w:val="ATT/ANN LV4 - ASDEFCON"/>
    <w:basedOn w:val="ASDEFCONNormal"/>
    <w:rsid w:val="00D34FDC"/>
    <w:pPr>
      <w:numPr>
        <w:ilvl w:val="3"/>
        <w:numId w:val="3"/>
      </w:numPr>
    </w:pPr>
    <w:rPr>
      <w:szCs w:val="24"/>
    </w:rPr>
  </w:style>
  <w:style w:type="paragraph" w:customStyle="1" w:styleId="ASDEFCONHeaderFooter">
    <w:name w:val="ASDEFCON Header/Footer"/>
    <w:basedOn w:val="ASDEFCONNormal"/>
    <w:rsid w:val="00D34FDC"/>
    <w:pPr>
      <w:jc w:val="left"/>
    </w:pPr>
    <w:rPr>
      <w:sz w:val="16"/>
      <w:szCs w:val="24"/>
    </w:rPr>
  </w:style>
  <w:style w:type="paragraph" w:customStyle="1" w:styleId="NoteToTenderersBullets-ASDEFCON">
    <w:name w:val="Note To Tenderers Bullets - ASDEFCON"/>
    <w:basedOn w:val="NoteToTenderers-ASDEFCON"/>
    <w:rsid w:val="00D34FDC"/>
    <w:pPr>
      <w:numPr>
        <w:numId w:val="1"/>
      </w:numPr>
      <w:tabs>
        <w:tab w:val="clear" w:pos="851"/>
        <w:tab w:val="num" w:pos="360"/>
      </w:tabs>
      <w:ind w:left="0" w:firstLine="0"/>
    </w:pPr>
    <w:rPr>
      <w:bCs/>
      <w:iCs/>
      <w:szCs w:val="20"/>
    </w:rPr>
  </w:style>
  <w:style w:type="paragraph" w:customStyle="1" w:styleId="NoteToTenderersList-ASDEFCON">
    <w:name w:val="Note To Tenderers List - ASDEFCON"/>
    <w:basedOn w:val="NoteToTenderers-ASDEFCON"/>
    <w:rsid w:val="00D34FDC"/>
    <w:pPr>
      <w:numPr>
        <w:numId w:val="2"/>
      </w:numPr>
      <w:tabs>
        <w:tab w:val="clear" w:pos="851"/>
        <w:tab w:val="num" w:pos="360"/>
      </w:tabs>
      <w:ind w:left="0" w:firstLine="0"/>
    </w:pPr>
    <w:rPr>
      <w:bCs/>
      <w:iCs/>
      <w:szCs w:val="20"/>
    </w:rPr>
  </w:style>
  <w:style w:type="paragraph" w:customStyle="1" w:styleId="Table10ptHeading-ASDEFCON">
    <w:name w:val="Table 10pt Heading - ASDEFCON"/>
    <w:basedOn w:val="ASDEFCONNormal"/>
    <w:link w:val="Table10ptHeading-ASDEFCONChar"/>
    <w:rsid w:val="00D34FDC"/>
    <w:pPr>
      <w:keepNext/>
      <w:spacing w:before="60" w:after="60"/>
      <w:jc w:val="center"/>
    </w:pPr>
    <w:rPr>
      <w:b/>
    </w:rPr>
  </w:style>
  <w:style w:type="paragraph" w:customStyle="1" w:styleId="ASDEFCONOptionSpace">
    <w:name w:val="ASDEFCON Option Space"/>
    <w:basedOn w:val="ASDEFCONNormal"/>
    <w:rsid w:val="00D34FDC"/>
    <w:pPr>
      <w:spacing w:after="0"/>
    </w:pPr>
    <w:rPr>
      <w:bCs/>
      <w:color w:val="FFFFFF"/>
      <w:sz w:val="8"/>
    </w:rPr>
  </w:style>
  <w:style w:type="paragraph" w:customStyle="1" w:styleId="ATTANNReferencetoCOC">
    <w:name w:val="ATT/ANN Reference to COC"/>
    <w:basedOn w:val="ASDEFCONNormal"/>
    <w:rsid w:val="00D34FDC"/>
    <w:pPr>
      <w:keepNext/>
      <w:jc w:val="right"/>
    </w:pPr>
    <w:rPr>
      <w:i/>
      <w:iCs/>
      <w:szCs w:val="20"/>
    </w:rPr>
  </w:style>
  <w:style w:type="paragraph" w:customStyle="1" w:styleId="ASDEFCONHeaderFooterLeft">
    <w:name w:val="ASDEFCON Header/Footer Left"/>
    <w:basedOn w:val="ASDEFCONNormal"/>
    <w:rsid w:val="00D34FDC"/>
    <w:pPr>
      <w:spacing w:after="0"/>
      <w:jc w:val="left"/>
    </w:pPr>
    <w:rPr>
      <w:sz w:val="16"/>
      <w:szCs w:val="24"/>
    </w:rPr>
  </w:style>
  <w:style w:type="paragraph" w:customStyle="1" w:styleId="ASDEFCONHeaderFooterRight">
    <w:name w:val="ASDEFCON Header/Footer Right"/>
    <w:basedOn w:val="ASDEFCONHeaderFooterLeft"/>
    <w:rsid w:val="00D34FDC"/>
    <w:pPr>
      <w:jc w:val="right"/>
    </w:pPr>
    <w:rPr>
      <w:szCs w:val="20"/>
    </w:rPr>
  </w:style>
  <w:style w:type="paragraph" w:customStyle="1" w:styleId="ASDEFCONHeaderFooterClassification">
    <w:name w:val="ASDEFCON Header/Footer Classification"/>
    <w:basedOn w:val="ASDEFCONHeaderFooterLeft"/>
    <w:rsid w:val="00D34FDC"/>
    <w:pPr>
      <w:jc w:val="center"/>
    </w:pPr>
    <w:rPr>
      <w:rFonts w:ascii="Arial Bold" w:hAnsi="Arial Bold"/>
      <w:b/>
      <w:bCs/>
      <w:caps/>
      <w:sz w:val="20"/>
    </w:rPr>
  </w:style>
  <w:style w:type="character" w:customStyle="1" w:styleId="Table10ptHeading-ASDEFCONChar">
    <w:name w:val="Table 10pt Heading - ASDEFCON Char"/>
    <w:link w:val="Table10ptHeading-ASDEFCON"/>
    <w:rsid w:val="00D34FDC"/>
    <w:rPr>
      <w:rFonts w:ascii="Arial" w:eastAsia="Times New Roman" w:hAnsi="Arial" w:cs="Times New Roman"/>
      <w:b/>
      <w:color w:val="000000"/>
      <w:sz w:val="20"/>
      <w:szCs w:val="40"/>
      <w:lang w:eastAsia="en-AU"/>
    </w:rPr>
  </w:style>
  <w:style w:type="character" w:customStyle="1" w:styleId="NoteToTenderers-ASDEFCONChar">
    <w:name w:val="Note To Tenderers - ASDEFCON Char"/>
    <w:link w:val="NoteToTenderers-ASDEFCON"/>
    <w:rsid w:val="00D34FDC"/>
    <w:rPr>
      <w:rFonts w:ascii="Arial" w:eastAsia="Times New Roman" w:hAnsi="Arial" w:cs="Times New Roman"/>
      <w:b/>
      <w:i/>
      <w:color w:val="000000"/>
      <w:sz w:val="20"/>
      <w:szCs w:val="40"/>
      <w:shd w:val="pct15" w:color="auto" w:fill="auto"/>
      <w:lang w:eastAsia="en-AU"/>
    </w:rPr>
  </w:style>
  <w:style w:type="paragraph" w:styleId="Header">
    <w:name w:val="header"/>
    <w:basedOn w:val="Normal"/>
    <w:link w:val="HeaderChar"/>
    <w:uiPriority w:val="99"/>
    <w:unhideWhenUsed/>
    <w:rsid w:val="00CD31B8"/>
    <w:pPr>
      <w:tabs>
        <w:tab w:val="center" w:pos="4513"/>
        <w:tab w:val="right" w:pos="9026"/>
      </w:tabs>
      <w:spacing w:after="0"/>
    </w:pPr>
  </w:style>
  <w:style w:type="character" w:customStyle="1" w:styleId="HeaderChar">
    <w:name w:val="Header Char"/>
    <w:basedOn w:val="DefaultParagraphFont"/>
    <w:link w:val="Header"/>
    <w:uiPriority w:val="99"/>
    <w:rsid w:val="00CD31B8"/>
    <w:rPr>
      <w:rFonts w:ascii="Arial" w:eastAsia="Times New Roman" w:hAnsi="Arial" w:cs="Times New Roman"/>
      <w:sz w:val="20"/>
      <w:szCs w:val="24"/>
      <w:lang w:eastAsia="en-AU"/>
    </w:rPr>
  </w:style>
  <w:style w:type="paragraph" w:styleId="Footer">
    <w:name w:val="footer"/>
    <w:basedOn w:val="Normal"/>
    <w:link w:val="FooterChar"/>
    <w:uiPriority w:val="99"/>
    <w:unhideWhenUsed/>
    <w:rsid w:val="00CD31B8"/>
    <w:pPr>
      <w:tabs>
        <w:tab w:val="center" w:pos="4513"/>
        <w:tab w:val="right" w:pos="9026"/>
      </w:tabs>
      <w:spacing w:after="0"/>
    </w:pPr>
  </w:style>
  <w:style w:type="character" w:customStyle="1" w:styleId="FooterChar">
    <w:name w:val="Footer Char"/>
    <w:basedOn w:val="DefaultParagraphFont"/>
    <w:link w:val="Footer"/>
    <w:uiPriority w:val="99"/>
    <w:rsid w:val="00CD31B8"/>
    <w:rPr>
      <w:rFonts w:ascii="Arial" w:eastAsia="Times New Roman" w:hAnsi="Arial" w:cs="Times New Roman"/>
      <w:sz w:val="20"/>
      <w:szCs w:val="24"/>
      <w:lang w:eastAsia="en-AU"/>
    </w:rPr>
  </w:style>
  <w:style w:type="paragraph" w:styleId="BalloonText">
    <w:name w:val="Balloon Text"/>
    <w:basedOn w:val="Normal"/>
    <w:link w:val="BalloonTextChar"/>
    <w:uiPriority w:val="99"/>
    <w:semiHidden/>
    <w:unhideWhenUsed/>
    <w:rsid w:val="004537D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37DC"/>
    <w:rPr>
      <w:rFonts w:ascii="Segoe UI" w:eastAsia="Times New Roman" w:hAnsi="Segoe UI" w:cs="Segoe UI"/>
      <w:sz w:val="18"/>
      <w:szCs w:val="18"/>
      <w:lang w:eastAsia="en-AU"/>
    </w:rPr>
  </w:style>
  <w:style w:type="character" w:styleId="CommentReference">
    <w:name w:val="annotation reference"/>
    <w:basedOn w:val="DefaultParagraphFont"/>
    <w:uiPriority w:val="99"/>
    <w:semiHidden/>
    <w:unhideWhenUsed/>
    <w:rsid w:val="00A5655B"/>
    <w:rPr>
      <w:sz w:val="16"/>
      <w:szCs w:val="16"/>
    </w:rPr>
  </w:style>
  <w:style w:type="paragraph" w:styleId="CommentText">
    <w:name w:val="annotation text"/>
    <w:basedOn w:val="Normal"/>
    <w:link w:val="CommentTextChar"/>
    <w:uiPriority w:val="99"/>
    <w:semiHidden/>
    <w:unhideWhenUsed/>
    <w:rsid w:val="00A5655B"/>
    <w:rPr>
      <w:szCs w:val="20"/>
    </w:rPr>
  </w:style>
  <w:style w:type="character" w:customStyle="1" w:styleId="CommentTextChar">
    <w:name w:val="Comment Text Char"/>
    <w:basedOn w:val="DefaultParagraphFont"/>
    <w:link w:val="CommentText"/>
    <w:uiPriority w:val="99"/>
    <w:semiHidden/>
    <w:rsid w:val="00A5655B"/>
    <w:rPr>
      <w:rFonts w:ascii="Arial" w:eastAsia="Times New Roman" w:hAnsi="Arial" w:cs="Times New Roman"/>
      <w:sz w:val="20"/>
      <w:szCs w:val="20"/>
      <w:lang w:eastAsia="en-AU"/>
    </w:rPr>
  </w:style>
  <w:style w:type="paragraph" w:styleId="CommentSubject">
    <w:name w:val="annotation subject"/>
    <w:basedOn w:val="CommentText"/>
    <w:next w:val="CommentText"/>
    <w:link w:val="CommentSubjectChar"/>
    <w:uiPriority w:val="99"/>
    <w:semiHidden/>
    <w:unhideWhenUsed/>
    <w:rsid w:val="00A5655B"/>
    <w:rPr>
      <w:b/>
      <w:bCs/>
    </w:rPr>
  </w:style>
  <w:style w:type="character" w:customStyle="1" w:styleId="CommentSubjectChar">
    <w:name w:val="Comment Subject Char"/>
    <w:basedOn w:val="CommentTextChar"/>
    <w:link w:val="CommentSubject"/>
    <w:uiPriority w:val="99"/>
    <w:semiHidden/>
    <w:rsid w:val="00A5655B"/>
    <w:rPr>
      <w:rFonts w:ascii="Arial" w:eastAsia="Times New Roman" w:hAnsi="Arial" w:cs="Times New Roman"/>
      <w:b/>
      <w:bCs/>
      <w:sz w:val="20"/>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efence.gov.au/SPI/Industry/AIC.asp" TargetMode="External"/><Relationship Id="rId13" Type="http://schemas.openxmlformats.org/officeDocument/2006/relationships/hyperlink" Target="https://www.niaa.gov.au/resource-centre/indigenous-affairs/commonwealth-indigenous-procurement-policy" TargetMode="External"/><Relationship Id="rId3" Type="http://schemas.openxmlformats.org/officeDocument/2006/relationships/settings" Target="settings.xml"/><Relationship Id="rId7" Type="http://schemas.openxmlformats.org/officeDocument/2006/relationships/hyperlink" Target="http://www.defence.gov.au/casg/DoingBusiness/Industry/Industryprograms/" TargetMode="External"/><Relationship Id="rId12" Type="http://schemas.openxmlformats.org/officeDocument/2006/relationships/hyperlink" Target="https://www.niaa.gov.au/resource-centre/indigenous-affairs/commonwealth-indigenous-procurement-policy"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upplynation.org.au"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defence.gov.au/Export/Strategy/" TargetMode="External"/><Relationship Id="rId4" Type="http://schemas.openxmlformats.org/officeDocument/2006/relationships/webSettings" Target="webSettings.xml"/><Relationship Id="rId9" Type="http://schemas.openxmlformats.org/officeDocument/2006/relationships/hyperlink" Target="http://www.defence.gov.au/SPI/Industry/CapabilityPla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1179</Words>
  <Characters>6724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Defence</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Borgmeyer, Kym MR</dc:creator>
  <cp:keywords/>
  <dc:description/>
  <cp:lastModifiedBy>Anderson, Simon MR 1</cp:lastModifiedBy>
  <cp:revision>2</cp:revision>
  <cp:lastPrinted>2022-05-05T05:44:00Z</cp:lastPrinted>
  <dcterms:created xsi:type="dcterms:W3CDTF">2026-04-02T00:25:00Z</dcterms:created>
  <dcterms:modified xsi:type="dcterms:W3CDTF">2026-04-02T00:25:00Z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BO54662183</vt:lpwstr>
  </property>
  <property fmtid="{D5CDD505-2E9C-101B-9397-08002B2CF9AE}" pid="4" name="Objective-Title">
    <vt:lpwstr>NMP69524 SOW Annexure C- AIC Schedule</vt:lpwstr>
  </property>
  <property fmtid="{D5CDD505-2E9C-101B-9397-08002B2CF9AE}" pid="5" name="Objective-Comment">
    <vt:lpwstr/>
  </property>
  <property fmtid="{D5CDD505-2E9C-101B-9397-08002B2CF9AE}" pid="6" name="Objective-CreationStamp">
    <vt:filetime>2026-02-17T05:59:20Z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property>
  <property fmtid="{D5CDD505-2E9C-101B-9397-08002B2CF9AE}" pid="10" name="Objective-ModificationStamp">
    <vt:filetime>2026-04-08T03:43:21Z</vt:filetime>
  </property>
  <property fmtid="{D5CDD505-2E9C-101B-9397-08002B2CF9AE}" pid="11" name="Objective-Owner">
    <vt:lpwstr>Defence</vt:lpwstr>
  </property>
  <property fmtid="{D5CDD505-2E9C-101B-9397-08002B2CF9AE}" pid="12" name="Objective-Path">
    <vt:lpwstr>Objective Global Folder - PROD:Defence Business Units:Joint Capabilities Group:Cyber Operations Division:COD : Cyber Operations Division:SMB: Service Management Branch:DCDS - Directorate Cyber Defence Systems:11 - Personnel Management (Workforce/HR):Personnel Management (Workforce/HR) - 2025 - JCG COD SMB CDS:2025 Contracts Management:NMP69524 - CDS Technical Specialists - Cyber Platforms - 01-07-26 - 30-06-29 - 24 months with 1 x 12 month extension:Contract Documentation:</vt:lpwstr>
  </property>
  <property fmtid="{D5CDD505-2E9C-101B-9397-08002B2CF9AE}" pid="13" name="Objective-Parent">
    <vt:lpwstr>Contract Documentation</vt:lpwstr>
  </property>
  <property fmtid="{D5CDD505-2E9C-101B-9397-08002B2CF9AE}" pid="14" name="Objective-State">
    <vt:lpwstr>Being Edited</vt:lpwstr>
  </property>
  <property fmtid="{D5CDD505-2E9C-101B-9397-08002B2CF9AE}" pid="15" name="Objective-Version">
    <vt:lpwstr>4.1</vt:lpwstr>
  </property>
  <property fmtid="{D5CDD505-2E9C-101B-9397-08002B2CF9AE}" pid="16" name="Objective-VersionNumber">
    <vt:i4>8</vt:i4>
  </property>
  <property fmtid="{D5CDD505-2E9C-101B-9397-08002B2CF9AE}" pid="17" name="Objective-VersionComment">
    <vt:lpwstr/>
  </property>
  <property fmtid="{D5CDD505-2E9C-101B-9397-08002B2CF9AE}" pid="18" name="Objective-FileNumber">
    <vt:lpwstr>2024/1126607</vt:lpwstr>
  </property>
  <property fmtid="{D5CDD505-2E9C-101B-9397-08002B2CF9AE}" pid="19" name="Objective-Classification">
    <vt:lpwstr>Official</vt:lpwstr>
  </property>
  <property fmtid="{D5CDD505-2E9C-101B-9397-08002B2CF9AE}" pid="20" name="Objective-Caveats">
    <vt:lpwstr/>
  </property>
  <property fmtid="{D5CDD505-2E9C-101B-9397-08002B2CF9AE}" pid="21" name="Objective-Document Type">
    <vt:lpwstr/>
  </property>
  <property fmtid="{D5CDD505-2E9C-101B-9397-08002B2CF9AE}" pid="22" name="Objective-Reason for Security Classification Change">
    <vt:lpwstr/>
  </property>
</Properties>
</file>