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83.149606299213pt; height:91.086614173228pt; margin-left:0pt; margin-top:0pt; position:absolute; mso-position-horizontal:left; mso-position-vertical:top; mso-position-horizontal-relative:margin; mso-position-vertical-relative:line;">
            <w10:wrap type="square" anchorx="page" anchory="page"/>
            <v:imagedata r:id="rId7" o:title=""/>
          </v:shape>
        </w:pict>
      </w:r>
      <w:r>
        <w:pict>
          <v:shape type="#_x0000_t75" stroked="f" style="width:67.275590551181pt; height:120.18897637795pt; margin-left:0pt; margin-top:0pt; position:absolute; mso-position-horizontal:right; mso-position-vertical:top; mso-position-horizontal-relative:margin; mso-position-vertical-relative:line;">
            <w10:wrap type="square" anchorx="page" anchory="page"/>
            <v:imagedata r:id="rId8" o:title=""/>
          </v:shape>
        </w:pict>
      </w:r>
    </w:p>
    <w:p>
      <w:pPr>
        <w:jc w:val="center"/>
      </w:pPr>
      <w:r>
        <w:rPr>
          <w:sz w:val="28"/>
          <w:szCs w:val="28"/>
        </w:rPr>
        <w:t xml:space="preserve">2024</w:t>
      </w:r>
    </w:p>
    <w:p>
      <w:pPr>
        <w:jc w:val="center"/>
      </w:pPr>
      <w:r>
        <w:rPr>
          <w:sz w:val="28"/>
          <w:szCs w:val="28"/>
        </w:rPr>
        <w:t xml:space="preserve">Project Implementation Report (PIR)</w:t>
      </w:r>
    </w:p>
    <w:p>
      <w:pPr/>
      <w:r>
        <w:rPr/>
        <w:t xml:space="preserve"/>
      </w:r>
    </w:p>
    <w:p>
      <w:pPr/>
      <w:r>
        <w:rPr/>
        <w:t xml:space="preserve"/>
      </w:r>
    </w:p>
    <w:p>
      <w:pPr/>
      <w:r>
        <w:rPr/>
        <w:t xml:space="preserve"/>
      </w:r>
    </w:p>
    <w:p>
      <w:pPr>
        <w:jc w:val="center"/>
      </w:pPr>
      <w:r>
        <w:rPr>
          <w:sz w:val="28"/>
          <w:szCs w:val="28"/>
          <w:b w:val="1"/>
          <w:bCs w:val="1"/>
        </w:rPr>
        <w:t xml:space="preserve">Lebanon Sustainable Low-emission Transport Systems</w:t>
      </w:r>
    </w:p>
    <w:p>
      <w:pPr>
        <w:tabs>
          <w:tab w:val="right" w:leader="dot" w:pos="9062"/>
        </w:tabs>
      </w:pPr>
      <w:r>
        <w:fldChar w:fldCharType="begin"/>
      </w:r>
      <w:r>
        <w:instrText xml:space="preserve">TOC \o 1-1 \h \z \u</w:instrText>
      </w:r>
      <w:r>
        <w:fldChar w:fldCharType="separate"/>
      </w:r>
      <w:hyperlink w:anchor="_Toc1" w:history="1">
        <w:r>
          <w:t>Basic Data</w:t>
        </w:r>
        <w:r>
          <w:tab/>
        </w:r>
        <w:r>
          <w:fldChar w:fldCharType="begin"/>
        </w:r>
        <w:r>
          <w:instrText xml:space="preserve">PAGEREF _Toc1 \h</w:instrText>
        </w:r>
        <w:r>
          <w:fldChar w:fldCharType="end"/>
        </w:r>
      </w:hyperlink>
    </w:p>
    <w:p>
      <w:pPr>
        <w:tabs>
          <w:tab w:val="right" w:leader="dot" w:pos="9062"/>
        </w:tabs>
      </w:pPr>
      <w:hyperlink w:anchor="_Toc2" w:history="1">
        <w:r>
          <w:t>Overall ratings</w:t>
        </w:r>
        <w:r>
          <w:tab/>
        </w:r>
        <w:r>
          <w:fldChar w:fldCharType="begin"/>
        </w:r>
        <w:r>
          <w:instrText xml:space="preserve">PAGEREF _Toc2 \h</w:instrText>
        </w:r>
        <w:r>
          <w:fldChar w:fldCharType="end"/>
        </w:r>
      </w:hyperlink>
    </w:p>
    <w:p>
      <w:pPr>
        <w:tabs>
          <w:tab w:val="right" w:leader="dot" w:pos="9062"/>
        </w:tabs>
      </w:pPr>
      <w:hyperlink w:anchor="_Toc3" w:history="1">
        <w:r>
          <w:t>Development Objective Progress</w:t>
        </w:r>
        <w:r>
          <w:tab/>
        </w:r>
        <w:r>
          <w:fldChar w:fldCharType="begin"/>
        </w:r>
        <w:r>
          <w:instrText xml:space="preserve">PAGEREF _Toc3 \h</w:instrText>
        </w:r>
        <w:r>
          <w:fldChar w:fldCharType="end"/>
        </w:r>
      </w:hyperlink>
    </w:p>
    <w:p>
      <w:pPr>
        <w:tabs>
          <w:tab w:val="right" w:leader="dot" w:pos="9062"/>
        </w:tabs>
      </w:pPr>
      <w:hyperlink w:anchor="_Toc5" w:history="1">
        <w:r>
          <w:t>Implementation Progress</w:t>
        </w:r>
        <w:r>
          <w:tab/>
        </w:r>
        <w:r>
          <w:fldChar w:fldCharType="begin"/>
        </w:r>
        <w:r>
          <w:instrText xml:space="preserve">PAGEREF _Toc5 \h</w:instrText>
        </w:r>
        <w:r>
          <w:fldChar w:fldCharType="end"/>
        </w:r>
      </w:hyperlink>
    </w:p>
    <w:p>
      <w:pPr>
        <w:tabs>
          <w:tab w:val="right" w:leader="dot" w:pos="9062"/>
        </w:tabs>
      </w:pPr>
      <w:hyperlink w:anchor="_Toc8" w:history="1">
        <w:r>
          <w:t>Project Governance</w:t>
        </w:r>
        <w:r>
          <w:tab/>
        </w:r>
        <w:r>
          <w:fldChar w:fldCharType="begin"/>
        </w:r>
        <w:r>
          <w:instrText xml:space="preserve">PAGEREF _Toc8 \h</w:instrText>
        </w:r>
        <w:r>
          <w:fldChar w:fldCharType="end"/>
        </w:r>
      </w:hyperlink>
    </w:p>
    <w:p>
      <w:pPr>
        <w:tabs>
          <w:tab w:val="right" w:leader="dot" w:pos="9062"/>
        </w:tabs>
      </w:pPr>
      <w:hyperlink w:anchor="_Toc9" w:history="1">
        <w:r>
          <w:t>Ratings and Overall Assessments</w:t>
        </w:r>
        <w:r>
          <w:tab/>
        </w:r>
        <w:r>
          <w:fldChar w:fldCharType="begin"/>
        </w:r>
        <w:r>
          <w:instrText xml:space="preserve">PAGEREF _Toc9 \h</w:instrText>
        </w:r>
        <w:r>
          <w:fldChar w:fldCharType="end"/>
        </w:r>
      </w:hyperlink>
    </w:p>
    <w:p>
      <w:pPr>
        <w:tabs>
          <w:tab w:val="right" w:leader="dot" w:pos="9062"/>
        </w:tabs>
      </w:pPr>
      <w:hyperlink w:anchor="_Toc10" w:history="1">
        <w:r>
          <w:t>Minor Amendments</w:t>
        </w:r>
        <w:r>
          <w:tab/>
        </w:r>
        <w:r>
          <w:fldChar w:fldCharType="begin"/>
        </w:r>
        <w:r>
          <w:instrText xml:space="preserve">PAGEREF _Toc10 \h</w:instrText>
        </w:r>
        <w:r>
          <w:fldChar w:fldCharType="end"/>
        </w:r>
      </w:hyperlink>
    </w:p>
    <w:p>
      <w:pPr>
        <w:tabs>
          <w:tab w:val="right" w:leader="dot" w:pos="9062"/>
        </w:tabs>
      </w:pPr>
      <w:hyperlink w:anchor="_Toc11" w:history="1">
        <w:r>
          <w:t>Gender</w:t>
        </w:r>
        <w:r>
          <w:tab/>
        </w:r>
        <w:r>
          <w:fldChar w:fldCharType="begin"/>
        </w:r>
        <w:r>
          <w:instrText xml:space="preserve">PAGEREF _Toc11 \h</w:instrText>
        </w:r>
        <w:r>
          <w:fldChar w:fldCharType="end"/>
        </w:r>
      </w:hyperlink>
    </w:p>
    <w:p>
      <w:pPr>
        <w:tabs>
          <w:tab w:val="right" w:leader="dot" w:pos="9062"/>
        </w:tabs>
      </w:pPr>
      <w:hyperlink w:anchor="_Toc13" w:history="1">
        <w:r>
          <w:t>Risk Management</w:t>
        </w:r>
        <w:r>
          <w:tab/>
        </w:r>
        <w:r>
          <w:fldChar w:fldCharType="begin"/>
        </w:r>
        <w:r>
          <w:instrText xml:space="preserve">PAGEREF _Toc13 \h</w:instrText>
        </w:r>
        <w:r>
          <w:fldChar w:fldCharType="end"/>
        </w:r>
      </w:hyperlink>
    </w:p>
    <w:p>
      <w:pPr>
        <w:tabs>
          <w:tab w:val="right" w:leader="dot" w:pos="9062"/>
        </w:tabs>
      </w:pPr>
      <w:hyperlink w:anchor="_Toc16" w:history="1">
        <w:r>
          <w:t>Knowledge Management &amp; Communications</w:t>
        </w:r>
        <w:r>
          <w:tab/>
        </w:r>
        <w:r>
          <w:fldChar w:fldCharType="begin"/>
        </w:r>
        <w:r>
          <w:instrText xml:space="preserve">PAGEREF _Toc16 \h</w:instrText>
        </w:r>
        <w:r>
          <w:fldChar w:fldCharType="end"/>
        </w:r>
      </w:hyperlink>
    </w:p>
    <w:p>
      <w:pPr>
        <w:tabs>
          <w:tab w:val="right" w:leader="dot" w:pos="9062"/>
        </w:tabs>
      </w:pPr>
      <w:hyperlink w:anchor="_Toc17" w:history="1">
        <w:r>
          <w:t>Annex - Ratings Definitions</w:t>
        </w:r>
        <w:r>
          <w:tab/>
        </w:r>
        <w:r>
          <w:fldChar w:fldCharType="begin"/>
        </w:r>
        <w:r>
          <w:instrText xml:space="preserve">PAGEREF _Toc17 \h</w:instrText>
        </w:r>
        <w:r>
          <w:fldChar w:fldCharType="end"/>
        </w:r>
      </w:hyperlink>
    </w:p>
    <w:p>
      <w:r>
        <w:fldChar w:fldCharType="end"/>
      </w:r>
    </w:p>
    <w:p>
      <w:pPr>
        <w:sectPr>
          <w:headerReference w:type="default" r:id="rId11"/>
          <w:footerReference w:type="default" r:id="rId12"/>
          <w:pgSz w:orient="portrait" w:w="11905.511811023622" w:h="16837.79527559055"/>
          <w:pgMar w:top="1440" w:right="1440" w:bottom="1440" w:left="1440" w:header="720" w:footer="720" w:gutter="0"/>
          <w:cols w:num="1" w:space="720"/>
        </w:sectPr>
      </w:pPr>
    </w:p>
    <w:p>
      <w:pPr>
        <w:pStyle w:val="Heading1"/>
      </w:pPr>
      <w:bookmarkStart w:id="1" w:name="_Toc1"/>
      <w:r>
        <w:t>Basic Data</w:t>
      </w:r>
      <w:bookmarkEnd w:id="1"/>
    </w:p>
    <w:tbl>
      <w:tblGrid>
        <w:gridCol w:w="5000" w:type="dxa"/>
        <w:gridCol w:w="5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gridSpan w:val="2"/>
          </w:tcPr>
          <w:p>
            <w:pPr/>
            <w:r>
              <w:rPr>
                <w:b w:val="1"/>
                <w:bCs w:val="1"/>
              </w:rPr>
              <w:t xml:space="preserve">Project Information</w:t>
            </w:r>
          </w:p>
        </w:tc>
      </w:tr>
      <w:tr>
        <w:trPr/>
        <w:tc>
          <w:tcPr>
            <w:tcW w:w="5000" w:type="dxa"/>
            <w:gridSpan w:val="1"/>
          </w:tcPr>
          <w:p>
            <w:pPr/>
            <w:r>
              <w:rPr/>
              <w:t xml:space="preserve">UNDP PIMS ID</w:t>
            </w:r>
          </w:p>
        </w:tc>
        <w:tc>
          <w:tcPr>
            <w:tcW w:w="5000" w:type="dxa"/>
            <w:gridSpan w:val="1"/>
          </w:tcPr>
          <w:p>
            <w:pPr/>
            <w:r>
              <w:rPr/>
              <w:t xml:space="preserve">6468</w:t>
            </w:r>
          </w:p>
        </w:tc>
      </w:tr>
      <w:tr>
        <w:trPr/>
        <w:tc>
          <w:tcPr>
            <w:tcW w:w="5000" w:type="dxa"/>
            <w:gridSpan w:val="1"/>
          </w:tcPr>
          <w:p>
            <w:pPr/>
            <w:r>
              <w:rPr/>
              <w:t xml:space="preserve">GEF ID</w:t>
            </w:r>
          </w:p>
        </w:tc>
        <w:tc>
          <w:tcPr>
            <w:tcW w:w="5000" w:type="dxa"/>
            <w:gridSpan w:val="1"/>
          </w:tcPr>
          <w:p>
            <w:pPr/>
            <w:r>
              <w:rPr/>
              <w:t xml:space="preserve">10358</w:t>
            </w:r>
          </w:p>
        </w:tc>
      </w:tr>
      <w:tr>
        <w:trPr/>
        <w:tc>
          <w:tcPr>
            <w:tcW w:w="5000" w:type="dxa"/>
            <w:gridSpan w:val="1"/>
          </w:tcPr>
          <w:p>
            <w:pPr/>
            <w:r>
              <w:rPr/>
              <w:t xml:space="preserve">Title</w:t>
            </w:r>
          </w:p>
        </w:tc>
        <w:tc>
          <w:tcPr>
            <w:tcW w:w="5000" w:type="dxa"/>
            <w:gridSpan w:val="1"/>
          </w:tcPr>
          <w:p>
            <w:pPr/>
            <w:r>
              <w:rPr/>
              <w:t xml:space="preserve">Lebanon Sustainable Low-emission Transport Systems</w:t>
            </w:r>
          </w:p>
        </w:tc>
      </w:tr>
      <w:tr>
        <w:trPr/>
        <w:tc>
          <w:tcPr>
            <w:tcW w:w="5000" w:type="dxa"/>
            <w:gridSpan w:val="1"/>
          </w:tcPr>
          <w:p>
            <w:pPr/>
            <w:r>
              <w:rPr/>
              <w:t xml:space="preserve">Country(ies)</w:t>
            </w:r>
          </w:p>
        </w:tc>
        <w:tc>
          <w:tcPr>
            <w:tcW w:w="5000" w:type="dxa"/>
            <w:gridSpan w:val="1"/>
          </w:tcPr>
          <w:p>
            <w:pPr/>
            <w:r>
              <w:rPr/>
              <w:t xml:space="preserve">Lebanon, Lebanon</w:t>
            </w:r>
          </w:p>
        </w:tc>
      </w:tr>
      <w:tr>
        <w:trPr/>
        <w:tc>
          <w:tcPr>
            <w:tcW w:w="5000" w:type="dxa"/>
            <w:gridSpan w:val="1"/>
          </w:tcPr>
          <w:p>
            <w:pPr/>
            <w:r>
              <w:rPr/>
              <w:t xml:space="preserve">UNDP Technical Team</w:t>
            </w:r>
          </w:p>
        </w:tc>
        <w:tc>
          <w:tcPr>
            <w:tcW w:w="5000" w:type="dxa"/>
            <w:gridSpan w:val="1"/>
          </w:tcPr>
          <w:p>
            <w:pPr/>
            <w:r>
              <w:rPr/>
              <w:t xml:space="preserve">Energy, Infrastructure, Transport and Technology</w:t>
            </w:r>
          </w:p>
        </w:tc>
      </w:tr>
      <w:tr>
        <w:trPr/>
        <w:tc>
          <w:tcPr>
            <w:tcW w:w="5000" w:type="dxa"/>
            <w:gridSpan w:val="1"/>
          </w:tcPr>
          <w:p>
            <w:pPr/>
            <w:r>
              <w:rPr/>
              <w:t xml:space="preserve">Management Arrangements</w:t>
            </w:r>
          </w:p>
        </w:tc>
        <w:tc>
          <w:tcPr>
            <w:tcW w:w="5000" w:type="dxa"/>
            <w:gridSpan w:val="1"/>
          </w:tcPr>
          <w:p>
            <w:pPr/>
            <w:r>
              <w:rPr/>
              <w:t xml:space="preserve">DIM</w:t>
            </w:r>
          </w:p>
        </w:tc>
      </w:tr>
      <w:tr>
        <w:trPr/>
        <w:tc>
          <w:tcPr>
            <w:tcW w:w="5000" w:type="dxa"/>
            <w:gridSpan w:val="1"/>
          </w:tcPr>
          <w:p>
            <w:pPr/>
            <w:r>
              <w:rPr/>
              <w:t xml:space="preserve">Project Implementing Partner</w:t>
            </w:r>
          </w:p>
        </w:tc>
        <w:tc>
          <w:tcPr>
            <w:tcW w:w="5000" w:type="dxa"/>
            <w:gridSpan w:val="1"/>
          </w:tcPr>
          <w:p>
            <w:pPr/>
            <w:r>
              <w:rPr/>
              <w:t xml:space="preserve">UNDP Lebanon Country Office</w:t>
            </w:r>
          </w:p>
        </w:tc>
      </w:tr>
      <w:tr>
        <w:trPr/>
        <w:tc>
          <w:tcPr>
            <w:tcW w:w="5000" w:type="dxa"/>
            <w:gridSpan w:val="1"/>
          </w:tcPr>
          <w:p>
            <w:pPr/>
            <w:r>
              <w:rPr/>
              <w:t xml:space="preserve">Joint Agencies</w:t>
            </w:r>
          </w:p>
        </w:tc>
        <w:tc>
          <w:tcPr>
            <w:tcW w:w="5000" w:type="dxa"/>
            <w:gridSpan w:val="1"/>
          </w:tcPr>
          <w:p>
            <w:pPr/>
            <w:r>
              <w:rPr>
                <w:i w:val="1"/>
                <w:iCs w:val="1"/>
              </w:rPr>
              <w:t xml:space="preserve">(not set or not applicable)</w:t>
            </w:r>
          </w:p>
        </w:tc>
      </w:tr>
      <w:tr>
        <w:trPr/>
        <w:tc>
          <w:tcPr>
            <w:tcW w:w="5000" w:type="dxa"/>
            <w:gridSpan w:val="1"/>
          </w:tcPr>
          <w:p>
            <w:pPr/>
            <w:r>
              <w:rPr/>
              <w:t xml:space="preserve">Project Type</w:t>
            </w:r>
          </w:p>
        </w:tc>
        <w:tc>
          <w:tcPr>
            <w:tcW w:w="5000" w:type="dxa"/>
            <w:gridSpan w:val="1"/>
          </w:tcPr>
          <w:p>
            <w:pPr/>
            <w:r>
              <w:rPr/>
              <w:t xml:space="preserve">Full Size</w:t>
            </w:r>
          </w:p>
        </w:tc>
      </w:tr>
      <w:tr>
        <w:trPr/>
        <w:tc>
          <w:tcPr>
            <w:tcW w:w="5000" w:type="dxa"/>
            <w:gridSpan w:val="1"/>
          </w:tcPr>
          <w:p>
            <w:pPr/>
            <w:r>
              <w:rPr/>
              <w:t xml:space="preserve">Implementation Status</w:t>
            </w:r>
          </w:p>
        </w:tc>
        <w:tc>
          <w:tcPr>
            <w:tcW w:w="5000" w:type="dxa"/>
            <w:gridSpan w:val="1"/>
          </w:tcPr>
          <w:p>
            <w:pPr/>
            <w:r>
              <w:rPr/>
              <w:t xml:space="preserve">3rd PIR</w:t>
            </w:r>
          </w:p>
        </w:tc>
      </w:tr>
      <w:tr>
        <w:trPr/>
        <w:tc>
          <w:tcPr>
            <w:tcW w:w="5000" w:type="dxa"/>
            <w:gridSpan w:val="1"/>
          </w:tcPr>
          <w:p>
            <w:pPr/>
            <w:r>
              <w:rPr/>
              <w:t xml:space="preserve">GEF Fiscal Year</w:t>
            </w:r>
          </w:p>
        </w:tc>
        <w:tc>
          <w:tcPr>
            <w:tcW w:w="5000" w:type="dxa"/>
            <w:gridSpan w:val="1"/>
          </w:tcPr>
          <w:p>
            <w:pPr/>
            <w:r>
              <w:rPr/>
              <w:t xml:space="preserve">FY24</w:t>
            </w:r>
          </w:p>
        </w:tc>
      </w:tr>
      <w:tr>
        <w:trPr/>
        <w:tc>
          <w:tcPr>
            <w:tcW w:w="5000" w:type="dxa"/>
            <w:gridSpan w:val="1"/>
          </w:tcPr>
          <w:p>
            <w:pPr/>
            <w:r>
              <w:rPr/>
              <w:t xml:space="preserve">Trust Fund</w:t>
            </w:r>
          </w:p>
        </w:tc>
        <w:tc>
          <w:tcPr>
            <w:tcW w:w="5000" w:type="dxa"/>
            <w:gridSpan w:val="1"/>
          </w:tcPr>
          <w:p>
            <w:pPr/>
            <w:r>
              <w:rPr/>
              <w:t xml:space="preserve">GEF Trust Fund</w:t>
            </w:r>
          </w:p>
        </w:tc>
      </w:tr>
    </w:tbl>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gridSpan w:val="1"/>
          </w:tcPr>
          <w:p>
            <w:pPr/>
            <w:r>
              <w:rPr>
                <w:b w:val="1"/>
                <w:bCs w:val="1"/>
              </w:rPr>
              <w:t xml:space="preserve">Project Description</w:t>
            </w:r>
          </w:p>
        </w:tc>
      </w:tr>
      <w:tr>
        <w:trPr/>
        <w:tc>
          <w:tcPr>
            <w:tcW w:w="10000" w:type="dxa"/>
            <w:gridSpan w:val="1"/>
          </w:tcPr>
          <w:p>
            <w:pPr/>
            <w:r>
              <w:rPr/>
              <w:t xml:space="preserve">Project proposes several approaches: on the one hand to tackle the policy issues and provide technical options for the best way forward to improve the situation in transport and to introduce efficient transport technologies to the market. On the other hand, the project will consider piloting a renewable energy pilot application for charging stations or some other modality to determine the applicability of charging electric vehicles.  Finally, the project will work with NGOs and universities to promote research on the topic and raise awareness on sustainable transport and modal transport change.</w:t>
            </w:r>
          </w:p>
          <w:p>
            <w:pPr/>
            <w:r>
              <w:rPr/>
              <w:t xml:space="preserve">Objective: Promotion of Sustainable Transport in Lebanon using transport demand management and low carbon vehicles.</w:t>
            </w:r>
          </w:p>
          <w:p>
            <w:pPr/>
            <w:r>
              <w:rPr/>
              <w:t xml:space="preserve">Component 1: Institutional and policy support for the promotion of sustainable low emissions transport systems</w:t>
            </w:r>
          </w:p>
          <w:p>
            <w:pPr/>
            <w:r>
              <w:rPr/>
              <w:t xml:space="preserve">Component 2: Increased deployment of sustainable low-emission transport systems and support services</w:t>
            </w:r>
          </w:p>
          <w:p>
            <w:pPr/>
            <w:r>
              <w:rPr/>
              <w:t xml:space="preserve">Component 3: Knowledge management, capacity development and awareness raising</w:t>
            </w:r>
          </w:p>
        </w:tc>
      </w:tr>
    </w:tbl>
    <w:p/>
    <w:tbl>
      <w:tblGrid>
        <w:gridCol w:w="5000" w:type="dxa"/>
        <w:gridCol w:w="5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gridSpan w:val="2"/>
          </w:tcPr>
          <w:p>
            <w:pPr/>
            <w:r>
              <w:rPr>
                <w:b w:val="1"/>
                <w:bCs w:val="1"/>
              </w:rPr>
              <w:t xml:space="preserve">Project Contacts</w:t>
            </w:r>
          </w:p>
        </w:tc>
      </w:tr>
      <w:tr>
        <w:trPr/>
        <w:tc>
          <w:tcPr>
            <w:tcW w:w="5000" w:type="dxa"/>
            <w:gridSpan w:val="1"/>
          </w:tcPr>
          <w:p>
            <w:pPr/>
            <w:r>
              <w:rPr/>
              <w:t xml:space="preserve">UNDP BPPS Technical Advisor</w:t>
            </w:r>
          </w:p>
        </w:tc>
        <w:tc>
          <w:tcPr>
            <w:tcW w:w="5000" w:type="dxa"/>
            <w:gridSpan w:val="1"/>
          </w:tcPr>
          <w:p>
            <w:pPr/>
            <w:r>
              <w:rPr/>
              <w:t xml:space="preserve">Ms. Amal Aldababseh (amal.aldababseh@undp.org)</w:t>
            </w:r>
          </w:p>
        </w:tc>
      </w:tr>
      <w:tr>
        <w:trPr/>
        <w:tc>
          <w:tcPr>
            <w:tcW w:w="5000" w:type="dxa"/>
            <w:gridSpan w:val="1"/>
          </w:tcPr>
          <w:p>
            <w:pPr/>
            <w:r>
              <w:rPr/>
              <w:t xml:space="preserve">UNDP BPPS Programme Associate</w:t>
            </w:r>
          </w:p>
        </w:tc>
        <w:tc>
          <w:tcPr>
            <w:tcW w:w="5000" w:type="dxa"/>
            <w:gridSpan w:val="1"/>
          </w:tcPr>
          <w:p>
            <w:pPr/>
            <w:r>
              <w:rPr/>
              <w:t xml:space="preserve">Ms. Manar Shehadeh (manar.shehadeh@undp.org)</w:t>
            </w:r>
          </w:p>
        </w:tc>
      </w:tr>
      <w:tr>
        <w:trPr/>
        <w:tc>
          <w:tcPr>
            <w:tcW w:w="5000" w:type="dxa"/>
            <w:gridSpan w:val="1"/>
          </w:tcPr>
          <w:p>
            <w:pPr/>
            <w:r>
              <w:rPr/>
              <w:t xml:space="preserve">Project Manager/Coordinator</w:t>
            </w:r>
          </w:p>
        </w:tc>
        <w:tc>
          <w:tcPr>
            <w:tcW w:w="5000" w:type="dxa"/>
            <w:gridSpan w:val="1"/>
          </w:tcPr>
          <w:p>
            <w:pPr/>
            <w:r>
              <w:rPr/>
              <w:t xml:space="preserve">Mr. Nabil Mneimne (nabil.mneimne@undp.org)</w:t>
            </w:r>
          </w:p>
        </w:tc>
      </w:tr>
      <w:tr>
        <w:trPr/>
        <w:tc>
          <w:tcPr>
            <w:tcW w:w="5000" w:type="dxa"/>
            <w:gridSpan w:val="1"/>
          </w:tcPr>
          <w:p>
            <w:pPr/>
            <w:r>
              <w:rPr/>
              <w:t xml:space="preserve">UNDP Country Office Programme Officer</w:t>
            </w:r>
          </w:p>
        </w:tc>
        <w:tc>
          <w:tcPr>
            <w:tcW w:w="5000" w:type="dxa"/>
            <w:gridSpan w:val="1"/>
          </w:tcPr>
          <w:p>
            <w:pPr/>
            <w:r>
              <w:rPr/>
              <w:t xml:space="preserve">Ms. Jihan SEOUD (jihan.seoud@undp.org)</w:t>
            </w:r>
          </w:p>
        </w:tc>
      </w:tr>
      <w:tr>
        <w:trPr/>
        <w:tc>
          <w:tcPr>
            <w:tcW w:w="5000" w:type="dxa"/>
            <w:gridSpan w:val="1"/>
          </w:tcPr>
          <w:p>
            <w:pPr/>
            <w:r>
              <w:rPr/>
              <w:t xml:space="preserve">UNDP Country Office Deputy Resident Representative</w:t>
            </w:r>
          </w:p>
        </w:tc>
        <w:tc>
          <w:tcPr>
            <w:tcW w:w="5000" w:type="dxa"/>
            <w:gridSpan w:val="1"/>
          </w:tcPr>
          <w:p>
            <w:pPr/>
            <w:r>
              <w:rPr/>
              <w:t xml:space="preserve">Thair SHRAIDEH (thair.shraideh@undp.org)</w:t>
            </w:r>
          </w:p>
          <w:p>
            <w:pPr/>
            <w:r>
              <w:rPr/>
              <w:t xml:space="preserve">Ms. Blerta ALIKO (blerta.aliko@undp.org)</w:t>
            </w:r>
          </w:p>
        </w:tc>
      </w:tr>
      <w:tr>
        <w:trPr/>
        <w:tc>
          <w:tcPr>
            <w:tcW w:w="5000" w:type="dxa"/>
            <w:gridSpan w:val="1"/>
          </w:tcPr>
          <w:p>
            <w:pPr/>
            <w:r>
              <w:rPr/>
              <w:t xml:space="preserve">UNDP Regional Bureau Desk Officer</w:t>
            </w:r>
          </w:p>
        </w:tc>
        <w:tc>
          <w:tcPr>
            <w:tcW w:w="5000" w:type="dxa"/>
            <w:gridSpan w:val="1"/>
          </w:tcPr>
          <w:p>
            <w:pPr/>
            <w:r>
              <w:rPr/>
              <w:t xml:space="preserve">Aikan Mukanbetova (aikan.mukanbetova@undp.org)</w:t>
            </w:r>
          </w:p>
        </w:tc>
      </w:tr>
      <w:tr>
        <w:trPr/>
        <w:tc>
          <w:tcPr>
            <w:tcW w:w="5000" w:type="dxa"/>
            <w:gridSpan w:val="1"/>
          </w:tcPr>
          <w:p>
            <w:pPr/>
            <w:r>
              <w:rPr/>
              <w:t xml:space="preserve">GEF Operational Focal Point</w:t>
            </w:r>
          </w:p>
        </w:tc>
        <w:tc>
          <w:tcPr>
            <w:tcW w:w="5000" w:type="dxa"/>
            <w:gridSpan w:val="1"/>
          </w:tcPr>
          <w:p>
            <w:pPr/>
            <w:r>
              <w:rPr/>
              <w:t xml:space="preserve">Mr. Nasser Yassine</w:t>
            </w:r>
          </w:p>
        </w:tc>
      </w:tr>
      <w:tr>
        <w:trPr/>
        <w:tc>
          <w:tcPr>
            <w:tcW w:w="5000" w:type="dxa"/>
            <w:gridSpan w:val="1"/>
          </w:tcPr>
          <w:p>
            <w:pPr/>
            <w:r>
              <w:rPr/>
              <w:t xml:space="preserve">Project Implementing Partner</w:t>
            </w:r>
          </w:p>
        </w:tc>
        <w:tc>
          <w:tcPr>
            <w:tcW w:w="5000" w:type="dxa"/>
            <w:gridSpan w:val="1"/>
          </w:tcPr>
          <w:p>
            <w:pPr/>
            <w:r>
              <w:rPr>
                <w:i w:val="1"/>
                <w:iCs w:val="1"/>
              </w:rPr>
              <w:t xml:space="preserve">(not set or not applicable)</w:t>
            </w:r>
          </w:p>
        </w:tc>
      </w:tr>
      <w:tr>
        <w:trPr/>
        <w:tc>
          <w:tcPr>
            <w:tcW w:w="5000" w:type="dxa"/>
            <w:gridSpan w:val="1"/>
          </w:tcPr>
          <w:p>
            <w:pPr/>
            <w:r>
              <w:rPr/>
              <w:t xml:space="preserve">Other Partners</w:t>
            </w:r>
          </w:p>
        </w:tc>
        <w:tc>
          <w:tcPr>
            <w:tcW w:w="5000" w:type="dxa"/>
            <w:gridSpan w:val="1"/>
          </w:tcPr>
          <w:p>
            <w:pPr/>
            <w:r>
              <w:rPr>
                <w:i w:val="1"/>
                <w:iCs w:val="1"/>
              </w:rPr>
              <w:t xml:space="preserve">(not set or not applicable)</w:t>
            </w:r>
          </w:p>
        </w:tc>
      </w:tr>
    </w:tbl>
    <w:p>
      <w:pPr>
        <w:sectPr>
          <w:pgSz w:orient="portrait" w:w="11905.511811023622" w:h="16837.79527559055"/>
          <w:pgMar w:top="1440" w:right="1440" w:bottom="1440" w:left="1440" w:header="720" w:footer="720" w:gutter="0"/>
          <w:cols w:num="1" w:space="720"/>
        </w:sectPr>
      </w:pPr>
    </w:p>
    <w:p>
      <w:pPr>
        <w:pStyle w:val="Heading1"/>
      </w:pPr>
      <w:bookmarkStart w:id="2" w:name="_Toc2"/>
      <w:r>
        <w:t>Overall ratings</w:t>
      </w:r>
      <w:bookmarkEnd w:id="2"/>
    </w:p>
    <w:tbl>
      <w:tblGrid>
        <w:gridCol w:w="8000" w:type="dxa"/>
        <w:gridCol w:w="8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8000" w:type="dxa"/>
            <w:gridSpan w:val="1"/>
          </w:tcPr>
          <w:p>
            <w:pPr/>
            <w:r>
              <w:rPr/>
              <w:t xml:space="preserve">Overall DO Rating</w:t>
            </w:r>
          </w:p>
        </w:tc>
        <w:tc>
          <w:tcPr>
            <w:tcW w:w="8000" w:type="dxa"/>
            <w:gridSpan w:val="1"/>
          </w:tcPr>
          <w:p>
            <w:pPr/>
            <w:r>
              <w:rPr/>
              <w:t xml:space="preserve">Satisfactory</w:t>
            </w:r>
          </w:p>
        </w:tc>
      </w:tr>
      <w:tr>
        <w:trPr/>
        <w:tc>
          <w:tcPr>
            <w:tcW w:w="8000" w:type="dxa"/>
            <w:gridSpan w:val="1"/>
          </w:tcPr>
          <w:p>
            <w:pPr/>
            <w:r>
              <w:rPr/>
              <w:t xml:space="preserve">Overall IP Rating</w:t>
            </w:r>
          </w:p>
        </w:tc>
        <w:tc>
          <w:tcPr>
            <w:tcW w:w="8000" w:type="dxa"/>
            <w:gridSpan w:val="1"/>
          </w:tcPr>
          <w:p>
            <w:pPr/>
            <w:r>
              <w:rPr/>
              <w:t xml:space="preserve">Moderately Satisfactory</w:t>
            </w:r>
          </w:p>
        </w:tc>
      </w:tr>
      <w:tr>
        <w:trPr/>
        <w:tc>
          <w:tcPr>
            <w:tcW w:w="8000" w:type="dxa"/>
            <w:gridSpan w:val="1"/>
          </w:tcPr>
          <w:p>
            <w:pPr/>
            <w:r>
              <w:rPr/>
              <w:t xml:space="preserve">Overall Risk Rating</w:t>
            </w:r>
          </w:p>
        </w:tc>
        <w:tc>
          <w:tcPr>
            <w:tcW w:w="8000" w:type="dxa"/>
            <w:gridSpan w:val="1"/>
          </w:tcPr>
          <w:p>
            <w:pPr/>
            <w:r>
              <w:rPr/>
              <w:t xml:space="preserve">substantial</w:t>
            </w:r>
          </w:p>
        </w:tc>
      </w:tr>
    </w:tbl>
    <w:p>
      <w:pPr>
        <w:sectPr>
          <w:pgSz w:orient="portrait" w:w="11905.511811023622" w:h="16837.79527559055"/>
          <w:pgMar w:top="1440" w:right="1440" w:bottom="1440" w:left="1440" w:header="720" w:footer="720" w:gutter="0"/>
          <w:cols w:num="1" w:space="720"/>
        </w:sectPr>
      </w:pPr>
    </w:p>
    <w:p>
      <w:pPr>
        <w:pStyle w:val="Heading1"/>
      </w:pPr>
      <w:bookmarkStart w:id="3" w:name="_Toc3"/>
      <w:r>
        <w:t>Development Objective Progress</w:t>
      </w:r>
      <w:bookmarkEnd w:id="3"/>
    </w:p>
    <w:p>
      <w:pPr/>
      <w:r>
        <w:rPr/>
        <w:t xml:space="preserve">It is mandatory for all reported progress to be substantiated by evidence. Please upload evidence files for each objective/outcome via the DO PROGRESS section in the online PIR platform.  If there is no evidence to upload, the Project Manager is required to provide an explanation. </w:t>
      </w:r>
    </w:p>
    <w:tbl>
      <w:tblGrid>
        <w:gridCol w:w="4000" w:type="dxa"/>
        <w:gridCol w:w="2000" w:type="dxa"/>
        <w:gridCol w:w="2000" w:type="dxa"/>
        <w:gridCol w:w="2000" w:type="dxa"/>
        <w:gridCol w:w="4000" w:type="dxa"/>
        <w:gridCol w:w="4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6000" w:type="dxa"/>
            <w:gridSpan w:val="7"/>
          </w:tcPr>
          <w:p>
            <w:pPr/>
            <w:r>
              <w:rPr>
                <w:b w:val="1"/>
                <w:bCs w:val="1"/>
              </w:rPr>
              <w:t xml:space="preserve">Description</w:t>
            </w:r>
          </w:p>
        </w:tc>
      </w:tr>
      <w:tr>
        <w:trPr/>
        <w:tc>
          <w:tcPr>
            <w:tcW w:w="16000" w:type="dxa"/>
            <w:shd w:val="clear" w:fill="#D9D9D9"/>
            <w:gridSpan w:val="7"/>
          </w:tcPr>
          <w:p>
            <w:pPr/>
            <w:r>
              <w:rPr>
                <w:b w:val="1"/>
                <w:bCs w:val="1"/>
              </w:rPr>
              <w:t xml:space="preserve">Objective</w:t>
            </w:r>
          </w:p>
          <w:p>
            <w:pPr/>
            <w:r>
              <w:rPr>
                <w:b w:val="1"/>
                <w:bCs w:val="1"/>
              </w:rPr>
              <w:t xml:space="preserve">Institutional and policy support for the promotion of sustainable transport systems and e-mobility</w:t>
            </w:r>
          </w:p>
        </w:tc>
      </w:tr>
      <w:tr>
        <w:trPr/>
        <w:tc>
          <w:tcPr>
            <w:tcW w:w="4000" w:type="dxa"/>
            <w:gridSpan w:val="1"/>
          </w:tcPr>
          <w:p>
            <w:pPr/>
            <w:r>
              <w:rPr>
                <w:b w:val="1"/>
                <w:bCs w:val="1"/>
              </w:rPr>
              <w:t xml:space="preserve">Description of Indicator</w:t>
            </w:r>
          </w:p>
        </w:tc>
        <w:tc>
          <w:tcPr>
            <w:tcW w:w="2000" w:type="dxa"/>
            <w:gridSpan w:val="1"/>
          </w:tcPr>
          <w:p>
            <w:pPr/>
            <w:r>
              <w:rPr>
                <w:b w:val="1"/>
                <w:bCs w:val="1"/>
              </w:rPr>
              <w:t xml:space="preserve">Baseline Level</w:t>
            </w:r>
          </w:p>
        </w:tc>
        <w:tc>
          <w:tcPr>
            <w:tcW w:w="2000" w:type="dxa"/>
            <w:gridSpan w:val="1"/>
          </w:tcPr>
          <w:p>
            <w:pPr/>
            <w:r>
              <w:rPr>
                <w:b w:val="1"/>
                <w:bCs w:val="1"/>
              </w:rPr>
              <w:t xml:space="preserve">Midterm target level</w:t>
            </w:r>
          </w:p>
        </w:tc>
        <w:tc>
          <w:tcPr>
            <w:tcW w:w="2000" w:type="dxa"/>
            <w:gridSpan w:val="1"/>
          </w:tcPr>
          <w:p>
            <w:pPr/>
            <w:r>
              <w:rPr>
                <w:b w:val="1"/>
                <w:bCs w:val="1"/>
              </w:rPr>
              <w:t xml:space="preserve">End of project target level</w:t>
            </w:r>
          </w:p>
        </w:tc>
        <w:tc>
          <w:tcPr>
            <w:tcW w:w="4000" w:type="dxa"/>
            <w:gridSpan w:val="1"/>
          </w:tcPr>
          <w:p>
            <w:pPr/>
            <w:r>
              <w:rPr>
                <w:b w:val="1"/>
                <w:bCs w:val="1"/>
              </w:rPr>
              <w:t xml:space="preserve">Level at Jun 30, 2023</w:t>
            </w:r>
          </w:p>
        </w:tc>
        <w:tc>
          <w:tcPr>
            <w:tcW w:w="4000" w:type="dxa"/>
            <w:gridSpan w:val="1"/>
          </w:tcPr>
          <w:p>
            <w:pPr/>
            <w:r>
              <w:rPr>
                <w:b w:val="1"/>
                <w:bCs w:val="1"/>
              </w:rPr>
              <w:t xml:space="preserve">Cumulative progress since project start as of Jun 30, 2024</w:t>
            </w:r>
          </w:p>
        </w:tc>
      </w:tr>
      <w:tr>
        <w:trPr/>
        <w:tc>
          <w:tcPr>
            <w:tcW w:w="4000" w:type="dxa"/>
            <w:gridSpan w:val="1"/>
          </w:tcPr>
          <w:p>
            <w:pPr/>
            <w:r>
              <w:rPr/>
              <w:t xml:space="preserve">Project Objective: Promote sustainable transport in Lebanon through electric mobility and improved quality of service Mandatory Indicator 1:  # direct project beneficiaries disaggregated by gender (individual people)</w:t>
            </w:r>
          </w:p>
          <w:p>
            <w:pPr/>
            <w:r>
              <w:rPr/>
              <w:t xml:space="preserve">Mandatory GEF Core Indicator 6.2:</w:t>
            </w:r>
          </w:p>
          <w:p>
            <w:pPr/>
            <w:r>
              <w:rPr/>
              <w:t xml:space="preserve"/>
            </w:r>
          </w:p>
          <w:p>
            <w:pPr/>
            <w:r>
              <w:rPr/>
              <w:t xml:space="preserve"/>
            </w:r>
          </w:p>
          <w:p>
            <w:pPr/>
            <w:r>
              <w:rPr/>
              <w:t xml:space="preserve"/>
            </w:r>
          </w:p>
        </w:tc>
        <w:tc>
          <w:tcPr>
            <w:tcW w:w="2000" w:type="dxa"/>
            <w:gridSpan w:val="1"/>
          </w:tcPr>
          <w:p>
            <w:pPr/>
            <w:r>
              <w:rPr/>
              <w:t xml:space="preserve">0</w:t>
            </w:r>
          </w:p>
          <w:p>
            <w:pPr/>
            <w:r>
              <w:rPr/>
              <w:t xml:space="preserve"/>
            </w:r>
          </w:p>
          <w:p>
            <w:pPr/>
            <w:r>
              <w:rPr/>
              <w:t xml:space="preserve"/>
            </w:r>
          </w:p>
        </w:tc>
        <w:tc>
          <w:tcPr>
            <w:tcW w:w="2000" w:type="dxa"/>
            <w:gridSpan w:val="1"/>
          </w:tcPr>
          <w:p>
            <w:pPr/>
            <w:r>
              <w:rPr/>
              <w:t xml:space="preserve">0</w:t>
            </w:r>
          </w:p>
          <w:p>
            <w:pPr/>
            <w:r>
              <w:rPr/>
              <w:t xml:space="preserve"/>
            </w:r>
          </w:p>
          <w:p>
            <w:pPr/>
            <w:r>
              <w:rPr/>
              <w:t xml:space="preserve"/>
            </w:r>
          </w:p>
          <w:p>
            <w:pPr/>
            <w:r>
              <w:rPr/>
              <w:t xml:space="preserve"/>
            </w:r>
          </w:p>
        </w:tc>
        <w:tc>
          <w:tcPr>
            <w:tcW w:w="2000" w:type="dxa"/>
            <w:gridSpan w:val="1"/>
          </w:tcPr>
          <w:p>
            <w:pPr/>
            <w:r>
              <w:rPr/>
              <w:t xml:space="preserve">704,000 women and 713,000 men</w:t>
            </w:r>
          </w:p>
          <w:p>
            <w:pPr/>
            <w:r>
              <w:rPr/>
              <w:t xml:space="preserve"/>
            </w:r>
          </w:p>
          <w:p>
            <w:pPr/>
            <w:r>
              <w:rPr/>
              <w:t xml:space="preserve"/>
            </w:r>
          </w:p>
        </w:tc>
        <w:tc>
          <w:tcPr>
            <w:tcW w:w="4000" w:type="dxa"/>
            <w:gridSpan w:val="1"/>
          </w:tcPr>
          <w:p>
            <w:pPr/>
            <w:r>
              <w:rPr/>
              <w:t xml:space="preserve">0 the pilot projects have not yet started being operational and therefore the transport systems do not exist yet, so the indicator is zero.</w:t>
            </w:r>
          </w:p>
        </w:tc>
        <w:tc>
          <w:tcPr>
            <w:tcW w:w="4000" w:type="dxa"/>
            <w:gridSpan w:val="1"/>
          </w:tcPr>
          <w:p>
            <w:pPr/>
            <w:r>
              <w:rPr/>
              <w:t xml:space="preserve">0.</w:t>
            </w:r>
          </w:p>
          <w:p>
            <w:pPr/>
            <w:r>
              <w:rPr/>
              <w:t xml:space="preserve">The operational phase of the pilot projects has not commenced, and as a result, the transport systems are not yet in place, reflecting a current indicator value of zero.</w:t>
            </w:r>
          </w:p>
          <w:p>
            <w:pPr/>
            <w:r>
              <w:rPr/>
              <w:t xml:space="preserve"/>
            </w:r>
          </w:p>
        </w:tc>
      </w:tr>
      <w:tr>
        <w:trPr/>
        <w:tc>
          <w:tcPr>
            <w:tcW w:w="4000" w:type="dxa"/>
            <w:gridSpan w:val="1"/>
          </w:tcPr>
          <w:p>
            <w:pPr/>
            <w:r>
              <w:rPr/>
              <w:t xml:space="preserve">Indicator 2: Expected (direct) metric tons of CO₂e avoided (at the time of measurement)</w:t>
            </w:r>
          </w:p>
        </w:tc>
        <w:tc>
          <w:tcPr>
            <w:tcW w:w="2000" w:type="dxa"/>
            <w:gridSpan w:val="1"/>
          </w:tcPr>
          <w:p>
            <w:pPr/>
            <w:r>
              <w:rPr/>
              <w:t xml:space="preserve">0 tons</w:t>
            </w:r>
          </w:p>
        </w:tc>
        <w:tc>
          <w:tcPr>
            <w:tcW w:w="2000" w:type="dxa"/>
            <w:gridSpan w:val="1"/>
          </w:tcPr>
          <w:p>
            <w:pPr/>
            <w:r>
              <w:rPr/>
              <w:t xml:space="preserve">0 tons</w:t>
            </w:r>
          </w:p>
        </w:tc>
        <w:tc>
          <w:tcPr>
            <w:tcW w:w="2000" w:type="dxa"/>
            <w:gridSpan w:val="1"/>
          </w:tcPr>
          <w:p>
            <w:pPr/>
            <w:r>
              <w:rPr/>
              <w:t xml:space="preserve">39,069 tons (5,209 tons at end of project)</w:t>
            </w:r>
          </w:p>
        </w:tc>
        <w:tc>
          <w:tcPr>
            <w:tcW w:w="4000" w:type="dxa"/>
            <w:gridSpan w:val="1"/>
          </w:tcPr>
          <w:p>
            <w:pPr/>
            <w:r>
              <w:rPr/>
              <w:t xml:space="preserve">0 tons. The same as the previous comment on progress.</w:t>
            </w:r>
          </w:p>
          <w:p>
            <w:pPr/>
            <w:r>
              <w:rPr/>
              <w:t xml:space="preserve"/>
            </w:r>
          </w:p>
        </w:tc>
        <w:tc>
          <w:tcPr>
            <w:tcW w:w="4000" w:type="dxa"/>
            <w:gridSpan w:val="1"/>
          </w:tcPr>
          <w:p>
            <w:pPr/>
            <w:r>
              <w:rPr/>
              <w:t xml:space="preserve">0 tons.</w:t>
            </w:r>
          </w:p>
          <w:p>
            <w:pPr/>
            <w:r>
              <w:rPr/>
              <w:t xml:space="preserve">Same as the previous comment on progress.</w:t>
            </w:r>
          </w:p>
          <w:p>
            <w:pPr/>
            <w:r>
              <w:rPr/>
              <w:t xml:space="preserve"/>
            </w:r>
          </w:p>
        </w:tc>
      </w:tr>
      <w:tr>
        <w:trPr/>
        <w:tc>
          <w:tcPr>
            <w:tcW w:w="4000" w:type="dxa"/>
            <w:gridSpan w:val="1"/>
          </w:tcPr>
          <w:p>
            <w:pPr/>
            <w:r>
              <w:rPr/>
              <w:t xml:space="preserve">Indicator 3: # indirect project beneficiaries disaggregated by gender (individual people)</w:t>
            </w:r>
          </w:p>
        </w:tc>
        <w:tc>
          <w:tcPr>
            <w:tcW w:w="2000" w:type="dxa"/>
            <w:gridSpan w:val="1"/>
          </w:tcPr>
          <w:p>
            <w:pPr/>
            <w:r>
              <w:rPr/>
              <w:t xml:space="preserve">0</w:t>
            </w:r>
          </w:p>
        </w:tc>
        <w:tc>
          <w:tcPr>
            <w:tcW w:w="2000" w:type="dxa"/>
            <w:gridSpan w:val="1"/>
          </w:tcPr>
          <w:p>
            <w:pPr/>
            <w:r>
              <w:rPr/>
              <w:t xml:space="preserve">0</w:t>
            </w:r>
          </w:p>
        </w:tc>
        <w:tc>
          <w:tcPr>
            <w:tcW w:w="2000" w:type="dxa"/>
            <w:gridSpan w:val="1"/>
          </w:tcPr>
          <w:p>
            <w:pPr/>
            <w:r>
              <w:rPr/>
              <w:t xml:space="preserve">1,105,000 women and 1,118,000 men</w:t>
            </w:r>
          </w:p>
          <w:p>
            <w:pPr/>
            <w:r>
              <w:rPr/>
              <w:t xml:space="preserve"/>
            </w:r>
          </w:p>
        </w:tc>
        <w:tc>
          <w:tcPr>
            <w:tcW w:w="4000" w:type="dxa"/>
            <w:gridSpan w:val="1"/>
          </w:tcPr>
          <w:p>
            <w:pPr/>
            <w:r>
              <w:rPr/>
              <w:t xml:space="preserve">0. The same comment as previous.</w:t>
            </w:r>
          </w:p>
        </w:tc>
        <w:tc>
          <w:tcPr>
            <w:tcW w:w="4000" w:type="dxa"/>
            <w:gridSpan w:val="1"/>
          </w:tcPr>
          <w:p>
            <w:pPr/>
            <w:r>
              <w:rPr/>
              <w:t xml:space="preserve">0.</w:t>
            </w:r>
          </w:p>
          <w:p>
            <w:pPr/>
            <w:r>
              <w:rPr/>
              <w:t xml:space="preserve">Same as the previous comment</w:t>
            </w:r>
          </w:p>
          <w:p>
            <w:pPr/>
            <w:r>
              <w:rPr/>
              <w:t xml:space="preserve"/>
            </w:r>
          </w:p>
        </w:tc>
      </w:tr>
      <w:tr>
        <w:trPr/>
        <w:tc>
          <w:tcPr>
            <w:tcW w:w="4000" w:type="dxa"/>
            <w:gridSpan w:val="1"/>
          </w:tcPr>
          <w:p>
            <w:pPr/>
            <w:r>
              <w:rPr>
                <w:b w:val="1"/>
                <w:bCs w:val="1"/>
              </w:rPr>
              <w:t xml:space="preserve">The progress of the objective/outcome can be described as:</w:t>
            </w:r>
          </w:p>
        </w:tc>
        <w:tc>
          <w:tcPr>
            <w:tcW w:w="12000" w:type="dxa"/>
            <w:gridSpan w:val="5"/>
          </w:tcPr>
          <w:p>
            <w:pPr/>
            <w:r>
              <w:rPr>
                <w:b w:val="1"/>
                <w:bCs w:val="1"/>
              </w:rPr>
              <w:t xml:space="preserve">On track</w:t>
            </w:r>
          </w:p>
        </w:tc>
      </w:tr>
      <w:tr>
        <w:trPr/>
        <w:tc>
          <w:tcPr>
            <w:tcW w:w="4000" w:type="dxa"/>
            <w:gridSpan w:val="1"/>
          </w:tcPr>
          <w:p>
            <w:pPr/>
            <w:r>
              <w:rPr>
                <w:b w:val="1"/>
                <w:bCs w:val="1"/>
              </w:rPr>
              <w:t xml:space="preserve">Evidence uploaded:</w:t>
            </w:r>
          </w:p>
        </w:tc>
        <w:tc>
          <w:tcPr>
            <w:tcW w:w="12000" w:type="dxa"/>
            <w:gridSpan w:val="5"/>
          </w:tcPr>
          <w:p>
            <w:pPr/>
            <w:r>
              <w:rPr/>
              <w:t xml:space="preserve">N/A</w:t>
            </w:r>
          </w:p>
        </w:tc>
      </w:tr>
      <w:tr>
        <w:trPr/>
        <w:tc>
          <w:tcPr>
            <w:tcW w:w="4000" w:type="dxa"/>
            <w:gridSpan w:val="1"/>
          </w:tcPr>
          <w:p>
            <w:pPr/>
            <w:r>
              <w:rPr>
                <w:b w:val="1"/>
                <w:bCs w:val="1"/>
              </w:rPr>
              <w:t xml:space="preserve">Explanation why the evidence was not provided:</w:t>
            </w:r>
          </w:p>
        </w:tc>
        <w:tc>
          <w:tcPr>
            <w:tcW w:w="12000" w:type="dxa"/>
            <w:gridSpan w:val="5"/>
          </w:tcPr>
          <w:p>
            <w:pPr>
              <w:spacing w:before="0" w:after="0"/>
            </w:pPr>
            <w:r>
              <w:rPr/>
              <w:t xml:space="preserve">These indicators are not expected to be measured until the pilot projects become operational. As the operational phase of the pilot projects has not yet commenced according to the original project timeline, the current indicator value remains at zero.</w:t>
            </w:r>
          </w:p>
        </w:tc>
      </w:tr>
      <w:tr>
        <w:trPr/>
        <w:tc>
          <w:tcPr>
            <w:tcW w:w="16000" w:type="dxa"/>
            <w:shd w:val="clear" w:fill="#D9D9D9"/>
            <w:gridSpan w:val="7"/>
          </w:tcPr>
          <w:p>
            <w:pPr/>
            <w:r>
              <w:rPr>
                <w:b w:val="1"/>
                <w:bCs w:val="1"/>
              </w:rPr>
              <w:t xml:space="preserve">Objective</w:t>
            </w:r>
          </w:p>
          <w:p>
            <w:pPr/>
            <w:r>
              <w:rPr>
                <w:b w:val="1"/>
                <w:bCs w:val="1"/>
              </w:rPr>
              <w:t xml:space="preserve">Project Outcome  1: Strengthened policy and social environment to support the promotion of sustainable low emissions transport systems   , Output 1.1: Guidelines on low-cost sustainable mobility measures, including local improvements and voluntary agreements with bus operators and corporate fleets</w:t>
            </w:r>
          </w:p>
          <w:p>
            <w:pPr/>
            <w:r>
              <w:rPr>
                <w:b w:val="1"/>
                <w:bCs w:val="1"/>
              </w:rPr>
              <w:t xml:space="preserve">Output 1.2: National e-mobility strategy prepared with government and key stakeholders</w:t>
            </w:r>
          </w:p>
          <w:p>
            <w:pPr/>
            <w:r>
              <w:rPr>
                <w:b w:val="1"/>
                <w:bCs w:val="1"/>
              </w:rPr>
              <w:t xml:space="preserve">Output 1.3: Roadmap on end-of-life vehicle management, including electric vehicles and their batteries endorsed by government and key stakeholders</w:t>
            </w:r>
          </w:p>
          <w:p>
            <w:pPr/>
            <w:r>
              <w:rPr>
                <w:b w:val="1"/>
                <w:bCs w:val="1"/>
              </w:rPr>
              <w:t xml:space="preserve"/>
            </w:r>
          </w:p>
        </w:tc>
      </w:tr>
      <w:tr>
        <w:trPr/>
        <w:tc>
          <w:tcPr>
            <w:tcW w:w="4000" w:type="dxa"/>
            <w:gridSpan w:val="1"/>
          </w:tcPr>
          <w:p>
            <w:pPr/>
            <w:r>
              <w:rPr>
                <w:b w:val="1"/>
                <w:bCs w:val="1"/>
              </w:rPr>
              <w:t xml:space="preserve">Description of Indicator</w:t>
            </w:r>
          </w:p>
        </w:tc>
        <w:tc>
          <w:tcPr>
            <w:tcW w:w="2000" w:type="dxa"/>
            <w:gridSpan w:val="1"/>
          </w:tcPr>
          <w:p>
            <w:pPr/>
            <w:r>
              <w:rPr>
                <w:b w:val="1"/>
                <w:bCs w:val="1"/>
              </w:rPr>
              <w:t xml:space="preserve">Baseline Level</w:t>
            </w:r>
          </w:p>
        </w:tc>
        <w:tc>
          <w:tcPr>
            <w:tcW w:w="2000" w:type="dxa"/>
            <w:gridSpan w:val="1"/>
          </w:tcPr>
          <w:p>
            <w:pPr/>
            <w:r>
              <w:rPr>
                <w:b w:val="1"/>
                <w:bCs w:val="1"/>
              </w:rPr>
              <w:t xml:space="preserve">Midterm target level</w:t>
            </w:r>
          </w:p>
        </w:tc>
        <w:tc>
          <w:tcPr>
            <w:tcW w:w="2000" w:type="dxa"/>
            <w:gridSpan w:val="1"/>
          </w:tcPr>
          <w:p>
            <w:pPr/>
            <w:r>
              <w:rPr>
                <w:b w:val="1"/>
                <w:bCs w:val="1"/>
              </w:rPr>
              <w:t xml:space="preserve">End of project target level</w:t>
            </w:r>
          </w:p>
        </w:tc>
        <w:tc>
          <w:tcPr>
            <w:tcW w:w="4000" w:type="dxa"/>
            <w:gridSpan w:val="1"/>
          </w:tcPr>
          <w:p>
            <w:pPr/>
            <w:r>
              <w:rPr>
                <w:b w:val="1"/>
                <w:bCs w:val="1"/>
              </w:rPr>
              <w:t xml:space="preserve">Level at Jun 30, 2023</w:t>
            </w:r>
          </w:p>
        </w:tc>
        <w:tc>
          <w:tcPr>
            <w:tcW w:w="4000" w:type="dxa"/>
            <w:gridSpan w:val="1"/>
          </w:tcPr>
          <w:p>
            <w:pPr/>
            <w:r>
              <w:rPr>
                <w:b w:val="1"/>
                <w:bCs w:val="1"/>
              </w:rPr>
              <w:t xml:space="preserve">Cumulative progress since project start as of Jun 30, 2024</w:t>
            </w:r>
          </w:p>
        </w:tc>
      </w:tr>
      <w:tr>
        <w:trPr/>
        <w:tc>
          <w:tcPr>
            <w:tcW w:w="4000" w:type="dxa"/>
            <w:gridSpan w:val="1"/>
          </w:tcPr>
          <w:p>
            <w:pPr/>
            <w:r>
              <w:rPr/>
              <w:t xml:space="preserve">Indicator 5: National e-mobility strategy prepared with key stakeholders</w:t>
            </w:r>
          </w:p>
        </w:tc>
        <w:tc>
          <w:tcPr>
            <w:tcW w:w="2000" w:type="dxa"/>
            <w:gridSpan w:val="1"/>
          </w:tcPr>
          <w:p>
            <w:pPr/>
            <w:r>
              <w:rPr/>
              <w:t xml:space="preserve">No national e-mobility strategy</w:t>
            </w:r>
          </w:p>
        </w:tc>
        <w:tc>
          <w:tcPr>
            <w:tcW w:w="2000" w:type="dxa"/>
            <w:gridSpan w:val="1"/>
          </w:tcPr>
          <w:p>
            <w:pPr/>
            <w:r>
              <w:rPr/>
              <w:t xml:space="preserve">National e-mobility strategy presented to key stakeholders</w:t>
            </w:r>
          </w:p>
        </w:tc>
        <w:tc>
          <w:tcPr>
            <w:tcW w:w="2000" w:type="dxa"/>
            <w:gridSpan w:val="1"/>
          </w:tcPr>
          <w:p>
            <w:pPr/>
            <w:r>
              <w:rPr/>
              <w:t xml:space="preserve">National e-mobility strategy completed with government and at least 4 other key stakeholders</w:t>
            </w:r>
          </w:p>
        </w:tc>
        <w:tc>
          <w:tcPr>
            <w:tcW w:w="4000" w:type="dxa"/>
            <w:gridSpan w:val="1"/>
          </w:tcPr>
          <w:p>
            <w:pPr/>
            <w:r>
              <w:rPr/>
              <w:t xml:space="preserve">No national e-mobility strategy.</w:t>
            </w:r>
          </w:p>
          <w:p>
            <w:pPr/>
            <w:r>
              <w:rPr/>
              <w:t xml:space="preserve"/>
            </w:r>
          </w:p>
        </w:tc>
        <w:tc>
          <w:tcPr>
            <w:tcW w:w="4000" w:type="dxa"/>
            <w:gridSpan w:val="1"/>
          </w:tcPr>
          <w:p>
            <w:pPr/>
            <w:r>
              <w:rPr/>
              <w:t xml:space="preserve">No national e-mobility strategy.</w:t>
            </w:r>
          </w:p>
          <w:p>
            <w:pPr/>
            <w:r>
              <w:rPr/>
              <w:t xml:space="preserve"/>
            </w:r>
          </w:p>
          <w:p>
            <w:pPr/>
            <w:r>
              <w:rPr/>
              <w:t xml:space="preserve">There is currently no national e-mobility strategy in place. The electricity shortages in the country still persist. However, to adapt the national e-mobility strategy to these conditions the project will integrate the concept of system dynamics modeling, which offers the flexibility to adjust variables such as grid electricity shortages into the e-mobility strategy. This acts as a mitigation measure to ensure that the national e-mobility strategy can be easily remodeled once the energy sector improves.</w:t>
            </w:r>
          </w:p>
        </w:tc>
      </w:tr>
      <w:tr>
        <w:trPr/>
        <w:tc>
          <w:tcPr>
            <w:tcW w:w="4000" w:type="dxa"/>
            <w:gridSpan w:val="1"/>
          </w:tcPr>
          <w:p>
            <w:pPr/>
            <w:r>
              <w:rPr/>
              <w:t xml:space="preserve">Indicator 6: Number of voluntary agreements signed in the transport sector</w:t>
            </w:r>
          </w:p>
        </w:tc>
        <w:tc>
          <w:tcPr>
            <w:tcW w:w="2000" w:type="dxa"/>
            <w:gridSpan w:val="1"/>
          </w:tcPr>
          <w:p>
            <w:pPr/>
            <w:r>
              <w:rPr/>
              <w:t xml:space="preserve">0</w:t>
            </w:r>
          </w:p>
        </w:tc>
        <w:tc>
          <w:tcPr>
            <w:tcW w:w="2000" w:type="dxa"/>
            <w:gridSpan w:val="1"/>
          </w:tcPr>
          <w:p>
            <w:pPr/>
            <w:r>
              <w:rPr/>
              <w:t xml:space="preserve">2 (minimum number of bus companies necessary to carry out the pilots)</w:t>
            </w:r>
          </w:p>
        </w:tc>
        <w:tc>
          <w:tcPr>
            <w:tcW w:w="2000" w:type="dxa"/>
            <w:gridSpan w:val="1"/>
          </w:tcPr>
          <w:p>
            <w:pPr/>
            <w:r>
              <w:rPr/>
              <w:t xml:space="preserve">5</w:t>
            </w:r>
          </w:p>
        </w:tc>
        <w:tc>
          <w:tcPr>
            <w:tcW w:w="4000" w:type="dxa"/>
            <w:gridSpan w:val="1"/>
          </w:tcPr>
          <w:p>
            <w:pPr/>
            <w:r>
              <w:rPr/>
              <w:t xml:space="preserve">0. Agreements have not been operationalised yet.</w:t>
            </w:r>
          </w:p>
        </w:tc>
        <w:tc>
          <w:tcPr>
            <w:tcW w:w="4000" w:type="dxa"/>
            <w:gridSpan w:val="1"/>
          </w:tcPr>
          <w:p>
            <w:pPr/>
            <w:r>
              <w:rPr/>
              <w:t xml:space="preserve">0.</w:t>
            </w:r>
          </w:p>
          <w:p>
            <w:pPr/>
            <w:r>
              <w:rPr/>
              <w:t xml:space="preserve">Agreements have not been operationalized yet.</w:t>
            </w:r>
          </w:p>
          <w:p>
            <w:pPr/>
            <w:r>
              <w:rPr/>
              <w:t xml:space="preserve">The Green Public Transport Service (GPTS) and Green Fleet Management (GFM) certification guidelines have been developed, but the certifications have not yet been established.</w:t>
            </w:r>
          </w:p>
          <w:p>
            <w:pPr/>
            <w:r>
              <w:rPr/>
              <w:t xml:space="preserve"/>
            </w:r>
          </w:p>
          <w:p>
            <w:pPr/>
            <w:r>
              <w:rPr/>
              <w:t xml:space="preserve"/>
            </w:r>
          </w:p>
        </w:tc>
      </w:tr>
      <w:tr>
        <w:trPr/>
        <w:tc>
          <w:tcPr>
            <w:tcW w:w="4000" w:type="dxa"/>
            <w:gridSpan w:val="1"/>
          </w:tcPr>
          <w:p>
            <w:pPr/>
            <w:r>
              <w:rPr>
                <w:b w:val="1"/>
                <w:bCs w:val="1"/>
              </w:rPr>
              <w:t xml:space="preserve">The progress of the objective/outcome can be described as:</w:t>
            </w:r>
          </w:p>
        </w:tc>
        <w:tc>
          <w:tcPr>
            <w:tcW w:w="12000" w:type="dxa"/>
            <w:gridSpan w:val="5"/>
          </w:tcPr>
          <w:p>
            <w:pPr/>
            <w:r>
              <w:rPr>
                <w:b w:val="1"/>
                <w:bCs w:val="1"/>
              </w:rPr>
              <w:t xml:space="preserve">Off track</w:t>
            </w:r>
          </w:p>
        </w:tc>
      </w:tr>
      <w:tr>
        <w:trPr/>
        <w:tc>
          <w:tcPr>
            <w:tcW w:w="4000" w:type="dxa"/>
            <w:gridSpan w:val="1"/>
          </w:tcPr>
          <w:p>
            <w:pPr/>
            <w:r>
              <w:rPr>
                <w:b w:val="1"/>
                <w:bCs w:val="1"/>
              </w:rPr>
              <w:t xml:space="preserve">Evidence uploaded:</w:t>
            </w:r>
          </w:p>
        </w:tc>
        <w:tc>
          <w:tcPr>
            <w:tcW w:w="12000" w:type="dxa"/>
            <w:gridSpan w:val="5"/>
          </w:tcPr>
          <w:p>
            <w:pPr/>
            <w:r>
              <w:rPr/>
              <w:t xml:space="preserve">N/A</w:t>
            </w:r>
          </w:p>
        </w:tc>
      </w:tr>
      <w:tr>
        <w:trPr/>
        <w:tc>
          <w:tcPr>
            <w:tcW w:w="4000" w:type="dxa"/>
            <w:gridSpan w:val="1"/>
          </w:tcPr>
          <w:p>
            <w:pPr/>
            <w:r>
              <w:rPr>
                <w:b w:val="1"/>
                <w:bCs w:val="1"/>
              </w:rPr>
              <w:t xml:space="preserve">Explanation why the evidence was not provided:</w:t>
            </w:r>
          </w:p>
        </w:tc>
        <w:tc>
          <w:tcPr>
            <w:tcW w:w="12000" w:type="dxa"/>
            <w:gridSpan w:val="5"/>
          </w:tcPr>
          <w:p>
            <w:pPr>
              <w:spacing w:before="0" w:after="0"/>
            </w:pPr>
            <w:r>
              <w:rPr/>
              <w:t xml:space="preserve">There is no progress on the national e-mobility strategy due to persistent electricity shortages, but the project will incorporate system dynamics modeling to adapt the strategy to these conditions, allowing for future adjustments as the energy sector improves.</w:t>
            </w:r>
          </w:p>
          <w:p>
            <w:pPr>
              <w:spacing w:before="0" w:after="0"/>
            </w:pPr>
            <w:r>
              <w:rPr/>
              <w:t xml:space="preserve"/>
            </w:r>
          </w:p>
          <w:p>
            <w:pPr>
              <w:spacing w:before="0" w:after="0"/>
            </w:pPr>
            <w:r>
              <w:rPr/>
              <w:t xml:space="preserve">No voluntary agreements have been signed in the transport sector because the guidelines for GPTS and GFM certification have been developed, but the certifications themselves are not yet established; the self-certified GPTS concept is under development and set to be implemented by Q4 2024, with two public transport operators already expressing interest in enrolling.</w:t>
            </w:r>
          </w:p>
        </w:tc>
      </w:tr>
      <w:tr>
        <w:trPr/>
        <w:tc>
          <w:tcPr>
            <w:tcW w:w="16000" w:type="dxa"/>
            <w:shd w:val="clear" w:fill="#D9D9D9"/>
            <w:gridSpan w:val="7"/>
          </w:tcPr>
          <w:p>
            <w:pPr/>
            <w:r>
              <w:rPr>
                <w:b w:val="1"/>
                <w:bCs w:val="1"/>
              </w:rPr>
              <w:t xml:space="preserve">Objective</w:t>
            </w:r>
          </w:p>
          <w:p>
            <w:pPr/>
            <w:r>
              <w:rPr>
                <w:b w:val="1"/>
                <w:bCs w:val="1"/>
              </w:rPr>
              <w:t xml:space="preserve">Outcome 2: Demonstrations provide evidence of technical, financial and environmental sustainability to plan for scale-up of low-carbon electric mobility ,Output 2.1: Self-Certified green public transport services (GPTS) concept developed and implemented in at least one regular bus line in the northern corridor</w:t>
            </w:r>
          </w:p>
          <w:p>
            <w:pPr/>
            <w:r>
              <w:rPr>
                <w:b w:val="1"/>
                <w:bCs w:val="1"/>
              </w:rPr>
              <w:t xml:space="preserve">Output 2.2: Green fleet management (GFM) concept (including EVs) implemented in one governmental fleet</w:t>
            </w:r>
          </w:p>
          <w:p>
            <w:pPr/>
            <w:r>
              <w:rPr>
                <w:b w:val="1"/>
                <w:bCs w:val="1"/>
              </w:rPr>
              <w:t xml:space="preserve">Output 2.3: Non-motorized accessibility (including electric micromobility) to public transport improved in at least one municipality</w:t>
            </w:r>
          </w:p>
          <w:p>
            <w:pPr/>
            <w:r>
              <w:rPr>
                <w:b w:val="1"/>
                <w:bCs w:val="1"/>
              </w:rPr>
              <w:t xml:space="preserve">Output 2.4. The viability of electric buses in certified green public transport services is demonstrated and assessed in the northern corridor with 2 electric buses</w:t>
            </w:r>
          </w:p>
          <w:p>
            <w:pPr/>
            <w:r>
              <w:rPr>
                <w:b w:val="1"/>
                <w:bCs w:val="1"/>
              </w:rPr>
              <w:t xml:space="preserve">Output 2.5. The viability of electric cars in corporate fleets under green fleet management is demonstrated and assessed with 4 electric cars</w:t>
            </w:r>
          </w:p>
          <w:p>
            <w:pPr/>
            <w:r>
              <w:rPr>
                <w:b w:val="1"/>
                <w:bCs w:val="1"/>
              </w:rPr>
              <w:t xml:space="preserve"/>
            </w:r>
          </w:p>
        </w:tc>
      </w:tr>
      <w:tr>
        <w:trPr/>
        <w:tc>
          <w:tcPr>
            <w:tcW w:w="4000" w:type="dxa"/>
            <w:gridSpan w:val="1"/>
          </w:tcPr>
          <w:p>
            <w:pPr/>
            <w:r>
              <w:rPr>
                <w:b w:val="1"/>
                <w:bCs w:val="1"/>
              </w:rPr>
              <w:t xml:space="preserve">Description of Indicator</w:t>
            </w:r>
          </w:p>
        </w:tc>
        <w:tc>
          <w:tcPr>
            <w:tcW w:w="2000" w:type="dxa"/>
            <w:gridSpan w:val="1"/>
          </w:tcPr>
          <w:p>
            <w:pPr/>
            <w:r>
              <w:rPr>
                <w:b w:val="1"/>
                <w:bCs w:val="1"/>
              </w:rPr>
              <w:t xml:space="preserve">Baseline Level</w:t>
            </w:r>
          </w:p>
        </w:tc>
        <w:tc>
          <w:tcPr>
            <w:tcW w:w="2000" w:type="dxa"/>
            <w:gridSpan w:val="1"/>
          </w:tcPr>
          <w:p>
            <w:pPr/>
            <w:r>
              <w:rPr>
                <w:b w:val="1"/>
                <w:bCs w:val="1"/>
              </w:rPr>
              <w:t xml:space="preserve">Midterm target level</w:t>
            </w:r>
          </w:p>
        </w:tc>
        <w:tc>
          <w:tcPr>
            <w:tcW w:w="2000" w:type="dxa"/>
            <w:gridSpan w:val="1"/>
          </w:tcPr>
          <w:p>
            <w:pPr/>
            <w:r>
              <w:rPr>
                <w:b w:val="1"/>
                <w:bCs w:val="1"/>
              </w:rPr>
              <w:t xml:space="preserve">End of project target level</w:t>
            </w:r>
          </w:p>
        </w:tc>
        <w:tc>
          <w:tcPr>
            <w:tcW w:w="4000" w:type="dxa"/>
            <w:gridSpan w:val="1"/>
          </w:tcPr>
          <w:p>
            <w:pPr/>
            <w:r>
              <w:rPr>
                <w:b w:val="1"/>
                <w:bCs w:val="1"/>
              </w:rPr>
              <w:t xml:space="preserve">Level at Jun 30, 2023</w:t>
            </w:r>
          </w:p>
        </w:tc>
        <w:tc>
          <w:tcPr>
            <w:tcW w:w="4000" w:type="dxa"/>
            <w:gridSpan w:val="1"/>
          </w:tcPr>
          <w:p>
            <w:pPr/>
            <w:r>
              <w:rPr>
                <w:b w:val="1"/>
                <w:bCs w:val="1"/>
              </w:rPr>
              <w:t xml:space="preserve">Cumulative progress since project start as of Jun 30, 2024</w:t>
            </w:r>
          </w:p>
        </w:tc>
      </w:tr>
      <w:tr>
        <w:trPr/>
        <w:tc>
          <w:tcPr>
            <w:tcW w:w="4000" w:type="dxa"/>
            <w:gridSpan w:val="1"/>
          </w:tcPr>
          <w:p>
            <w:pPr/>
            <w:r>
              <w:rPr/>
              <w:t xml:space="preserve">Indicator 7: Number of passengers (women and men) making use of green public transport services in the northern corridor</w:t>
            </w:r>
          </w:p>
        </w:tc>
        <w:tc>
          <w:tcPr>
            <w:tcW w:w="2000" w:type="dxa"/>
            <w:gridSpan w:val="1"/>
          </w:tcPr>
          <w:p>
            <w:pPr/>
            <w:r>
              <w:rPr/>
              <w:t xml:space="preserve">0</w:t>
            </w:r>
          </w:p>
        </w:tc>
        <w:tc>
          <w:tcPr>
            <w:tcW w:w="2000" w:type="dxa"/>
            <w:gridSpan w:val="1"/>
          </w:tcPr>
          <w:p>
            <w:pPr/>
            <w:r>
              <w:rPr/>
              <w:t xml:space="preserve">Daily average: 2,500 women and 2,000 men</w:t>
            </w:r>
          </w:p>
        </w:tc>
        <w:tc>
          <w:tcPr>
            <w:tcW w:w="2000" w:type="dxa"/>
            <w:gridSpan w:val="1"/>
          </w:tcPr>
          <w:p>
            <w:pPr/>
            <w:r>
              <w:rPr/>
              <w:t xml:space="preserve">Daily average: 10,000 women and 8,000 men [Figures to be checked]</w:t>
            </w:r>
          </w:p>
        </w:tc>
        <w:tc>
          <w:tcPr>
            <w:tcW w:w="4000" w:type="dxa"/>
            <w:gridSpan w:val="1"/>
          </w:tcPr>
          <w:p>
            <w:pPr/>
            <w:r>
              <w:rPr/>
              <w:t xml:space="preserve">0</w:t>
            </w:r>
          </w:p>
          <w:p>
            <w:pPr/>
            <w:r>
              <w:rPr/>
              <w:t xml:space="preserve">Green public transport services have not been initiated yet.</w:t>
            </w:r>
          </w:p>
        </w:tc>
        <w:tc>
          <w:tcPr>
            <w:tcW w:w="4000" w:type="dxa"/>
            <w:gridSpan w:val="1"/>
          </w:tcPr>
          <w:p>
            <w:pPr/>
            <w:r>
              <w:rPr/>
              <w:t xml:space="preserve">0.</w:t>
            </w:r>
          </w:p>
          <w:p>
            <w:pPr/>
            <w:r>
              <w:rPr/>
              <w:t xml:space="preserve"/>
            </w:r>
          </w:p>
          <w:p>
            <w:pPr/>
            <w:r>
              <w:rPr/>
              <w:t xml:space="preserve">The self-certified GPTS concept is currently under development and is scheduled for implementation by Q4 2024. Two public transport operators have confirmed their willingness to enroll.</w:t>
            </w:r>
          </w:p>
        </w:tc>
      </w:tr>
      <w:tr>
        <w:trPr/>
        <w:tc>
          <w:tcPr>
            <w:tcW w:w="4000" w:type="dxa"/>
            <w:gridSpan w:val="1"/>
          </w:tcPr>
          <w:p>
            <w:pPr/>
            <w:r>
              <w:rPr/>
              <w:t xml:space="preserve">Indicator 8: Number of EV registered in Lebanon</w:t>
            </w:r>
          </w:p>
        </w:tc>
        <w:tc>
          <w:tcPr>
            <w:tcW w:w="2000" w:type="dxa"/>
            <w:gridSpan w:val="1"/>
          </w:tcPr>
          <w:p>
            <w:pPr/>
            <w:r>
              <w:rPr/>
              <w:t xml:space="preserve">0 (2020)</w:t>
            </w:r>
          </w:p>
        </w:tc>
        <w:tc>
          <w:tcPr>
            <w:tcW w:w="2000" w:type="dxa"/>
            <w:gridSpan w:val="1"/>
          </w:tcPr>
          <w:p>
            <w:pPr/>
            <w:r>
              <w:rPr/>
              <w:t xml:space="preserve">+4 cars, +1 bus (those provided by the project)</w:t>
            </w:r>
          </w:p>
        </w:tc>
        <w:tc>
          <w:tcPr>
            <w:tcW w:w="2000" w:type="dxa"/>
            <w:gridSpan w:val="1"/>
          </w:tcPr>
          <w:p>
            <w:pPr/>
            <w:r>
              <w:rPr/>
              <w:t xml:space="preserve">+20 cars, +4 buses</w:t>
            </w:r>
          </w:p>
        </w:tc>
        <w:tc>
          <w:tcPr>
            <w:tcW w:w="4000" w:type="dxa"/>
            <w:gridSpan w:val="1"/>
          </w:tcPr>
          <w:p>
            <w:pPr/>
            <w:r>
              <w:rPr/>
              <w:t xml:space="preserve">355 cars (new registrations), 0 buses</w:t>
            </w:r>
          </w:p>
          <w:p>
            <w:pPr/>
            <w:r>
              <w:rPr/>
              <w:t xml:space="preserve"/>
            </w:r>
          </w:p>
          <w:p>
            <w:pPr/>
            <w:r>
              <w:rPr/>
              <w:t xml:space="preserve">As per the numbers obtained from new car sale registrations in Lebanon, the number of EV cars sold and registered in Lebanon is 355. (17 registered in 2020, 110 in 2021, 193 in 2022, and 184 in 2023 by 30th of April)</w:t>
            </w:r>
          </w:p>
          <w:p>
            <w:pPr/>
            <w:r>
              <w:rPr/>
              <w:t xml:space="preserve"/>
            </w:r>
          </w:p>
        </w:tc>
        <w:tc>
          <w:tcPr>
            <w:tcW w:w="4000" w:type="dxa"/>
            <w:gridSpan w:val="1"/>
          </w:tcPr>
          <w:p>
            <w:pPr/>
            <w:r>
              <w:rPr/>
              <w:t xml:space="preserve">2878</w:t>
            </w:r>
          </w:p>
          <w:p>
            <w:pPr/>
            <w:r>
              <w:rPr/>
              <w:t xml:space="preserve">Based on official registration data and assumptions, Lebanon imported a total of 4,082 electric vehicles (EVs) between 2017 and 2023. The annual breakdown started with 75 EVs in 2017, followed by 34 in 2018, and increased to 113 in 2019. Imports dropped to 28 in 2020 but surged to 561 in 2021. The upward trend continued with 1,442 EVs in 2022 and peaked at 1,829 in 2023. These figures indicate that EV registrations in Lebanon have significantly exceeded the target. There are three main driving forces behind this growth:</w:t>
            </w:r>
          </w:p>
          <w:p>
            <w:pPr/>
            <w:r>
              <w:rPr/>
              <w:t xml:space="preserve">1.	Global trends in the EV market.</w:t>
            </w:r>
          </w:p>
          <w:p>
            <w:pPr/>
            <w:r>
              <w:rPr/>
              <w:t xml:space="preserve">2.	The import tax exemption on electric vehicles has been extended and expanded. Initially applied to fully electric vehicles (Full Electric) since 2022, this policy, decreed by the Ministry of Finance, now includes electric bicycles (E-bicycles) and electric scooters (E-scooters) as well. Effective February 15, 2024, it grants a 100% exemption from customs duties on these vehicles for a period of five years.</w:t>
            </w:r>
          </w:p>
          <w:p>
            <w:pPr/>
            <w:r>
              <w:rPr/>
              <w:t xml:space="preserve">3.	The expansion of the renewable energy market following the onset of the energy crisis and the development of EV charging infrastructure.</w:t>
            </w:r>
          </w:p>
          <w:p>
            <w:pPr/>
            <w:r>
              <w:rPr/>
              <w:t xml:space="preserve"/>
            </w:r>
          </w:p>
        </w:tc>
      </w:tr>
      <w:tr>
        <w:trPr/>
        <w:tc>
          <w:tcPr>
            <w:tcW w:w="4000" w:type="dxa"/>
            <w:gridSpan w:val="1"/>
          </w:tcPr>
          <w:p>
            <w:pPr/>
            <w:r>
              <w:rPr>
                <w:b w:val="1"/>
                <w:bCs w:val="1"/>
              </w:rPr>
              <w:t xml:space="preserve">The progress of the objective/outcome can be described as:</w:t>
            </w:r>
          </w:p>
        </w:tc>
        <w:tc>
          <w:tcPr>
            <w:tcW w:w="12000" w:type="dxa"/>
            <w:gridSpan w:val="5"/>
          </w:tcPr>
          <w:p>
            <w:pPr/>
            <w:r>
              <w:rPr>
                <w:b w:val="1"/>
                <w:bCs w:val="1"/>
              </w:rPr>
              <w:t xml:space="preserve">Off track</w:t>
            </w:r>
          </w:p>
        </w:tc>
      </w:tr>
      <w:tr>
        <w:trPr/>
        <w:tc>
          <w:tcPr>
            <w:tcW w:w="4000" w:type="dxa"/>
            <w:gridSpan w:val="1"/>
          </w:tcPr>
          <w:p>
            <w:pPr/>
            <w:r>
              <w:rPr>
                <w:b w:val="1"/>
                <w:bCs w:val="1"/>
              </w:rPr>
              <w:t xml:space="preserve">Evidence uploaded:</w:t>
            </w:r>
          </w:p>
        </w:tc>
        <w:tc>
          <w:tcPr>
            <w:tcW w:w="12000" w:type="dxa"/>
            <w:gridSpan w:val="5"/>
          </w:tcPr>
          <w:p>
            <w:pPr/>
            <w:r>
              <w:rPr/>
              <w:t xml:space="preserve">YES</w:t>
            </w:r>
          </w:p>
        </w:tc>
      </w:tr>
      <w:tr>
        <w:trPr/>
        <w:tc>
          <w:tcPr>
            <w:tcW w:w="16000" w:type="dxa"/>
            <w:shd w:val="clear" w:fill="#D9D9D9"/>
            <w:gridSpan w:val="7"/>
          </w:tcPr>
          <w:p>
            <w:pPr/>
            <w:r>
              <w:rPr>
                <w:b w:val="1"/>
                <w:bCs w:val="1"/>
              </w:rPr>
              <w:t xml:space="preserve">Objective</w:t>
            </w:r>
          </w:p>
          <w:p>
            <w:pPr/>
            <w:r>
              <w:rPr>
                <w:b w:val="1"/>
                <w:bCs w:val="1"/>
              </w:rPr>
              <w:t xml:space="preserve">Outcome 3: Sustainable low-emission transport programs widely supported,</w:t>
            </w:r>
          </w:p>
          <w:p>
            <w:pPr/>
            <w:r>
              <w:rPr>
                <w:b w:val="1"/>
                <w:bCs w:val="1"/>
              </w:rPr>
              <w:t xml:space="preserve">Output 3.1: Networking mechanism established among agencies and stakeholders involved in sustainable low emissions transport systems to accelerate the implementation of the e-mobility strategy and the adoption of GPTS and GFM by corporations and public bodies</w:t>
            </w:r>
          </w:p>
          <w:p>
            <w:pPr/>
            <w:r>
              <w:rPr>
                <w:b w:val="1"/>
                <w:bCs w:val="1"/>
              </w:rPr>
              <w:t xml:space="preserve">Output 3.2: Coordination with the "Global Programme to Support Countries with the Shift to Electric Mobility” (participation at thematic working groups and at the Support and Investment Platform)</w:t>
            </w:r>
          </w:p>
          <w:p>
            <w:pPr/>
            <w:r>
              <w:rPr>
                <w:b w:val="1"/>
                <w:bCs w:val="1"/>
              </w:rPr>
              <w:t xml:space="preserve">Output 3.3: Sustainable mobility communication and public awareness campaigns implemented, based on project results and focusing on mobility behavior (including road safety), and low-emission transport (including EVs, public transport, walking and cycling)</w:t>
            </w:r>
          </w:p>
          <w:p>
            <w:pPr/>
            <w:r>
              <w:rPr>
                <w:b w:val="1"/>
                <w:bCs w:val="1"/>
              </w:rPr>
              <w:t xml:space="preserve">Output 3.4: Capacity of municipal planners and public transport managers built for the promotion of low-emission transport (including non-motorized transport and carpooling), traffic control and management (e.g. parking management, vehicle-use control)</w:t>
            </w:r>
          </w:p>
          <w:p>
            <w:pPr/>
            <w:r>
              <w:rPr>
                <w:b w:val="1"/>
                <w:bCs w:val="1"/>
              </w:rPr>
              <w:t xml:space="preserve"/>
            </w:r>
          </w:p>
          <w:p>
            <w:pPr/>
            <w:r>
              <w:rPr>
                <w:b w:val="1"/>
                <w:bCs w:val="1"/>
              </w:rPr>
              <w:t xml:space="preserve"/>
            </w:r>
          </w:p>
        </w:tc>
      </w:tr>
      <w:tr>
        <w:trPr/>
        <w:tc>
          <w:tcPr>
            <w:tcW w:w="4000" w:type="dxa"/>
            <w:gridSpan w:val="1"/>
          </w:tcPr>
          <w:p>
            <w:pPr/>
            <w:r>
              <w:rPr>
                <w:b w:val="1"/>
                <w:bCs w:val="1"/>
              </w:rPr>
              <w:t xml:space="preserve">Description of Indicator</w:t>
            </w:r>
          </w:p>
        </w:tc>
        <w:tc>
          <w:tcPr>
            <w:tcW w:w="2000" w:type="dxa"/>
            <w:gridSpan w:val="1"/>
          </w:tcPr>
          <w:p>
            <w:pPr/>
            <w:r>
              <w:rPr>
                <w:b w:val="1"/>
                <w:bCs w:val="1"/>
              </w:rPr>
              <w:t xml:space="preserve">Baseline Level</w:t>
            </w:r>
          </w:p>
        </w:tc>
        <w:tc>
          <w:tcPr>
            <w:tcW w:w="2000" w:type="dxa"/>
            <w:gridSpan w:val="1"/>
          </w:tcPr>
          <w:p>
            <w:pPr/>
            <w:r>
              <w:rPr>
                <w:b w:val="1"/>
                <w:bCs w:val="1"/>
              </w:rPr>
              <w:t xml:space="preserve">Midterm target level</w:t>
            </w:r>
          </w:p>
        </w:tc>
        <w:tc>
          <w:tcPr>
            <w:tcW w:w="2000" w:type="dxa"/>
            <w:gridSpan w:val="1"/>
          </w:tcPr>
          <w:p>
            <w:pPr/>
            <w:r>
              <w:rPr>
                <w:b w:val="1"/>
                <w:bCs w:val="1"/>
              </w:rPr>
              <w:t xml:space="preserve">End of project target level</w:t>
            </w:r>
          </w:p>
        </w:tc>
        <w:tc>
          <w:tcPr>
            <w:tcW w:w="4000" w:type="dxa"/>
            <w:gridSpan w:val="1"/>
          </w:tcPr>
          <w:p>
            <w:pPr/>
            <w:r>
              <w:rPr>
                <w:b w:val="1"/>
                <w:bCs w:val="1"/>
              </w:rPr>
              <w:t xml:space="preserve">Level at Jun 30, 2023</w:t>
            </w:r>
          </w:p>
        </w:tc>
        <w:tc>
          <w:tcPr>
            <w:tcW w:w="4000" w:type="dxa"/>
            <w:gridSpan w:val="1"/>
          </w:tcPr>
          <w:p>
            <w:pPr/>
            <w:r>
              <w:rPr>
                <w:b w:val="1"/>
                <w:bCs w:val="1"/>
              </w:rPr>
              <w:t xml:space="preserve">Cumulative progress since project start as of Jun 30, 2024</w:t>
            </w:r>
          </w:p>
        </w:tc>
      </w:tr>
      <w:tr>
        <w:trPr/>
        <w:tc>
          <w:tcPr>
            <w:tcW w:w="4000" w:type="dxa"/>
            <w:gridSpan w:val="1"/>
          </w:tcPr>
          <w:p>
            <w:pPr/>
            <w:r>
              <w:rPr/>
              <w:t xml:space="preserve">Indicator 9: Number of governmental and non-governmental stakeholders actively engaged in the network</w:t>
            </w:r>
          </w:p>
        </w:tc>
        <w:tc>
          <w:tcPr>
            <w:tcW w:w="2000" w:type="dxa"/>
            <w:gridSpan w:val="1"/>
          </w:tcPr>
          <w:p>
            <w:pPr/>
            <w:r>
              <w:rPr/>
              <w:t xml:space="preserve">0</w:t>
            </w:r>
          </w:p>
        </w:tc>
        <w:tc>
          <w:tcPr>
            <w:tcW w:w="2000" w:type="dxa"/>
            <w:gridSpan w:val="1"/>
          </w:tcPr>
          <w:p>
            <w:pPr/>
            <w:r>
              <w:rPr/>
              <w:t xml:space="preserve">5 governmental, 5 non-governmental</w:t>
            </w:r>
          </w:p>
        </w:tc>
        <w:tc>
          <w:tcPr>
            <w:tcW w:w="2000" w:type="dxa"/>
            <w:gridSpan w:val="1"/>
          </w:tcPr>
          <w:p>
            <w:pPr/>
            <w:r>
              <w:rPr/>
              <w:t xml:space="preserve">8 governmental, 10 non-governmental</w:t>
            </w:r>
          </w:p>
        </w:tc>
        <w:tc>
          <w:tcPr>
            <w:tcW w:w="4000" w:type="dxa"/>
            <w:gridSpan w:val="1"/>
          </w:tcPr>
          <w:p>
            <w:pPr/>
            <w:r>
              <w:rPr/>
              <w:t xml:space="preserve">2 governmental, 3 non-governmental</w:t>
            </w:r>
          </w:p>
          <w:p>
            <w:pPr/>
            <w:r>
              <w:rPr/>
              <w:t xml:space="preserve"/>
            </w:r>
          </w:p>
          <w:p>
            <w:pPr/>
            <w:r>
              <w:rPr/>
              <w:t xml:space="preserve">(Ministry of Environment, Ministry of Public Works and Transport, LAU, Rider’s Rights, Wave)</w:t>
            </w:r>
          </w:p>
          <w:p>
            <w:pPr/>
            <w:r>
              <w:rPr/>
              <w:t xml:space="preserve">Besides having one on one meetings with the above mentioned stakeholders. Active engagement in the topic of e-mobility and sustainable transport has been achieved through the participation of the above mentioned stakeholders in the following events:</w:t>
            </w:r>
          </w:p>
          <w:p>
            <w:pPr/>
            <w:r>
              <w:rPr/>
              <w:t xml:space="preserve">Event 1: Focus Group Meeting: Sustainable Transport Sector 2050 Vision, Friday 16th of December 2022.</w:t>
            </w:r>
          </w:p>
          <w:p>
            <w:pPr/>
            <w:r>
              <w:rPr/>
              <w:t xml:space="preserve">Stakeholder’s Engaged: MoE, LAU, MoPWT, Rider’s Rights, Wave</w:t>
            </w:r>
          </w:p>
          <w:p>
            <w:pPr/>
            <w:r>
              <w:rPr/>
              <w:t xml:space="preserve">Event 2: E-motor Show Tech Talk. “The Road to Sustainable Mobility”, 12th of May 2023.</w:t>
            </w:r>
          </w:p>
          <w:p>
            <w:pPr/>
            <w:r>
              <w:rPr/>
              <w:t xml:space="preserve">Stakeholders engaged: MoE, MoPWT, Rider’s Rights</w:t>
            </w:r>
          </w:p>
          <w:p>
            <w:pPr/>
            <w:r>
              <w:rPr/>
              <w:t xml:space="preserve"/>
            </w:r>
          </w:p>
        </w:tc>
        <w:tc>
          <w:tcPr>
            <w:tcW w:w="4000" w:type="dxa"/>
            <w:gridSpan w:val="1"/>
          </w:tcPr>
          <w:p>
            <w:pPr/>
            <w:r>
              <w:rPr/>
              <w:t xml:space="preserve">3 Governmental</w:t>
            </w:r>
          </w:p>
          <w:p>
            <w:pPr/>
            <w:r>
              <w:rPr/>
              <w:t xml:space="preserve">7 non-governmental</w:t>
            </w:r>
          </w:p>
          <w:p>
            <w:pPr/>
            <w:r>
              <w:rPr/>
              <w:t xml:space="preserve"/>
            </w:r>
          </w:p>
          <w:p>
            <w:pPr/>
            <w:r>
              <w:rPr/>
              <w:t xml:space="preserve">Ministry of Environment (MoE), Ministry of Public Works and Transport (MoPWT), Lebanese American University (LAU), Rider’s Rights, Wave, Lebanese Center for Energy Conservation (LCEC), Manalco (Liban Energie), MEDCO, Earth Technologies)</w:t>
            </w:r>
          </w:p>
          <w:p>
            <w:pPr/>
            <w:r>
              <w:rPr/>
              <w:t xml:space="preserve">Besides having one-on-one meetings with the above-mentioned stakeholders, active engagement in the topic of e-mobility and sustainable transport has been achieved through the participation of the above mentioned stakeholders in the following events:</w:t>
            </w:r>
          </w:p>
          <w:p>
            <w:pPr/>
            <w:r>
              <w:rPr/>
              <w:t xml:space="preserve">Event 1: Focus Group Meeting: Sustainable Transport Sector 2050 Vision, Friday 16th of December 2022.</w:t>
            </w:r>
          </w:p>
          <w:p>
            <w:pPr/>
            <w:r>
              <w:rPr/>
              <w:t xml:space="preserve">Stakeholder’s Engaged: MoE, LAU, MoPWT, Rider’s Rights, Wave</w:t>
            </w:r>
          </w:p>
          <w:p>
            <w:pPr/>
            <w:r>
              <w:rPr/>
              <w:t xml:space="preserve">Event 2: E-motor Show Tech Talk. “The Road to Sustainable Mobility”, 12th of May 2023.</w:t>
            </w:r>
          </w:p>
          <w:p>
            <w:pPr/>
            <w:r>
              <w:rPr/>
              <w:t xml:space="preserve">Stakeholders engaged: MoE, MoPWT, Rider’s Rights</w:t>
            </w:r>
          </w:p>
          <w:p>
            <w:pPr/>
            <w:r>
              <w:rPr/>
              <w:t xml:space="preserve">Event 3: Beirut Energy Week – “Aligning Efforts Towards An Integrated Strategy on E-mobility in Lebanon”, 22 September 2023</w:t>
            </w:r>
          </w:p>
          <w:p>
            <w:pPr/>
            <w:r>
              <w:rPr/>
              <w:t xml:space="preserve"/>
            </w:r>
          </w:p>
          <w:p>
            <w:pPr/>
            <w:r>
              <w:rPr/>
              <w:t xml:space="preserve">Stakeholders Engaged: MEDCO, Manalco, Earth Technologies, LCEC</w:t>
            </w:r>
          </w:p>
        </w:tc>
      </w:tr>
      <w:tr>
        <w:trPr/>
        <w:tc>
          <w:tcPr>
            <w:tcW w:w="4000" w:type="dxa"/>
            <w:gridSpan w:val="1"/>
          </w:tcPr>
          <w:p>
            <w:pPr/>
            <w:r>
              <w:rPr/>
              <w:t xml:space="preserve">Indicator 10: Number of public and private decision-makers trained (women and men)</w:t>
            </w:r>
          </w:p>
        </w:tc>
        <w:tc>
          <w:tcPr>
            <w:tcW w:w="2000" w:type="dxa"/>
            <w:gridSpan w:val="1"/>
          </w:tcPr>
          <w:p>
            <w:pPr/>
            <w:r>
              <w:rPr/>
              <w:t xml:space="preserve">0</w:t>
            </w:r>
          </w:p>
        </w:tc>
        <w:tc>
          <w:tcPr>
            <w:tcW w:w="2000" w:type="dxa"/>
            <w:gridSpan w:val="1"/>
          </w:tcPr>
          <w:p>
            <w:pPr/>
            <w:r>
              <w:rPr/>
              <w:t xml:space="preserve">10 women, 10 men</w:t>
            </w:r>
          </w:p>
        </w:tc>
        <w:tc>
          <w:tcPr>
            <w:tcW w:w="2000" w:type="dxa"/>
            <w:gridSpan w:val="1"/>
          </w:tcPr>
          <w:p>
            <w:pPr/>
            <w:r>
              <w:rPr/>
              <w:t xml:space="preserve">20 women, 20 men</w:t>
            </w:r>
          </w:p>
        </w:tc>
        <w:tc>
          <w:tcPr>
            <w:tcW w:w="4000" w:type="dxa"/>
            <w:gridSpan w:val="1"/>
          </w:tcPr>
          <w:p>
            <w:pPr/>
            <w:r>
              <w:rPr/>
              <w:t xml:space="preserve">0</w:t>
            </w:r>
          </w:p>
          <w:p>
            <w:pPr/>
            <w:r>
              <w:rPr/>
              <w:t xml:space="preserve">Trainings on sustainable transport have not been initiated yet.</w:t>
            </w:r>
          </w:p>
        </w:tc>
        <w:tc>
          <w:tcPr>
            <w:tcW w:w="4000" w:type="dxa"/>
            <w:gridSpan w:val="1"/>
          </w:tcPr>
          <w:p>
            <w:pPr/>
            <w:r>
              <w:rPr/>
              <w:t xml:space="preserve">Public Decision-Makers Trained:</w:t>
            </w:r>
          </w:p>
          <w:p>
            <w:pPr/>
            <w:r>
              <w:rPr/>
              <w:t xml:space="preserve">3 women, 7 men</w:t>
            </w:r>
          </w:p>
          <w:p>
            <w:pPr/>
            <w:r>
              <w:rPr/>
              <w:t xml:space="preserve">Private Decision-Makers Trained:</w:t>
            </w:r>
          </w:p>
          <w:p>
            <w:pPr/>
            <w:r>
              <w:rPr/>
              <w:t xml:space="preserve">2 women, 4 men</w:t>
            </w:r>
          </w:p>
          <w:p>
            <w:pPr/>
            <w:r>
              <w:rPr/>
              <w:t xml:space="preserve">A technical training session on non-motorized transportation (NMT) was organized on September 13, 2023. This session was attended by public and private stakeholders, including representatives from several municipalities and NGOs. The Minister of Environment was also in attendance. The training covered the results of the NMT guidelines that were being developed at that time and provided implementation strategies as well as learnings from international case studies. Additionally, the session featured roundtable discussions where stakeholders examined matters related to legal, social, and technical aspects of NMT. A total of 5 women and 11 men participated in this session.</w:t>
            </w:r>
          </w:p>
        </w:tc>
      </w:tr>
      <w:tr>
        <w:trPr/>
        <w:tc>
          <w:tcPr>
            <w:tcW w:w="4000" w:type="dxa"/>
            <w:gridSpan w:val="1"/>
          </w:tcPr>
          <w:p>
            <w:pPr/>
            <w:r>
              <w:rPr>
                <w:b w:val="1"/>
                <w:bCs w:val="1"/>
              </w:rPr>
              <w:t xml:space="preserve">The progress of the objective/outcome can be described as:</w:t>
            </w:r>
          </w:p>
        </w:tc>
        <w:tc>
          <w:tcPr>
            <w:tcW w:w="12000" w:type="dxa"/>
            <w:gridSpan w:val="5"/>
          </w:tcPr>
          <w:p>
            <w:pPr/>
            <w:r>
              <w:rPr>
                <w:b w:val="1"/>
                <w:bCs w:val="1"/>
              </w:rPr>
              <w:t xml:space="preserve">On track</w:t>
            </w:r>
          </w:p>
        </w:tc>
      </w:tr>
      <w:tr>
        <w:trPr/>
        <w:tc>
          <w:tcPr>
            <w:tcW w:w="4000" w:type="dxa"/>
            <w:gridSpan w:val="1"/>
          </w:tcPr>
          <w:p>
            <w:pPr/>
            <w:r>
              <w:rPr>
                <w:b w:val="1"/>
                <w:bCs w:val="1"/>
              </w:rPr>
              <w:t xml:space="preserve">Evidence uploaded:</w:t>
            </w:r>
          </w:p>
        </w:tc>
        <w:tc>
          <w:tcPr>
            <w:tcW w:w="12000" w:type="dxa"/>
            <w:gridSpan w:val="5"/>
          </w:tcPr>
          <w:p>
            <w:pPr/>
            <w:r>
              <w:rPr/>
              <w:t xml:space="preserve">YES</w:t>
            </w:r>
          </w:p>
        </w:tc>
      </w:tr>
      <w:tr>
        <w:trPr/>
        <w:tc>
          <w:tcPr>
            <w:tcW w:w="16000" w:type="dxa"/>
            <w:shd w:val="clear" w:fill="#D9D9D9"/>
            <w:gridSpan w:val="7"/>
          </w:tcPr>
          <w:p>
            <w:pPr/>
            <w:r>
              <w:rPr>
                <w:b w:val="1"/>
                <w:bCs w:val="1"/>
              </w:rPr>
              <w:t xml:space="preserve">Objective</w:t>
            </w:r>
          </w:p>
          <w:p>
            <w:pPr/>
            <w:r>
              <w:rPr>
                <w:b w:val="1"/>
                <w:bCs w:val="1"/>
              </w:rPr>
              <w:t xml:space="preserve">Outcome 4 Monitoring &amp; Evaluation</w:t>
            </w:r>
          </w:p>
          <w:p>
            <w:pPr/>
            <w:r>
              <w:rPr>
                <w:b w:val="1"/>
                <w:bCs w:val="1"/>
              </w:rPr>
              <w:t xml:space="preserve">Output 4.1: The project monitoring and evaluation plan and knowledge-management strategy are designed and implemented</w:t>
            </w:r>
          </w:p>
        </w:tc>
      </w:tr>
      <w:tr>
        <w:trPr/>
        <w:tc>
          <w:tcPr>
            <w:tcW w:w="4000" w:type="dxa"/>
            <w:gridSpan w:val="1"/>
          </w:tcPr>
          <w:p>
            <w:pPr/>
            <w:r>
              <w:rPr>
                <w:b w:val="1"/>
                <w:bCs w:val="1"/>
              </w:rPr>
              <w:t xml:space="preserve">Description of Indicator</w:t>
            </w:r>
          </w:p>
        </w:tc>
        <w:tc>
          <w:tcPr>
            <w:tcW w:w="2000" w:type="dxa"/>
            <w:gridSpan w:val="1"/>
          </w:tcPr>
          <w:p>
            <w:pPr/>
            <w:r>
              <w:rPr>
                <w:b w:val="1"/>
                <w:bCs w:val="1"/>
              </w:rPr>
              <w:t xml:space="preserve">Baseline Level</w:t>
            </w:r>
          </w:p>
        </w:tc>
        <w:tc>
          <w:tcPr>
            <w:tcW w:w="2000" w:type="dxa"/>
            <w:gridSpan w:val="1"/>
          </w:tcPr>
          <w:p>
            <w:pPr/>
            <w:r>
              <w:rPr>
                <w:b w:val="1"/>
                <w:bCs w:val="1"/>
              </w:rPr>
              <w:t xml:space="preserve">Midterm target level</w:t>
            </w:r>
          </w:p>
        </w:tc>
        <w:tc>
          <w:tcPr>
            <w:tcW w:w="2000" w:type="dxa"/>
            <w:gridSpan w:val="1"/>
          </w:tcPr>
          <w:p>
            <w:pPr/>
            <w:r>
              <w:rPr>
                <w:b w:val="1"/>
                <w:bCs w:val="1"/>
              </w:rPr>
              <w:t xml:space="preserve">End of project target level</w:t>
            </w:r>
          </w:p>
        </w:tc>
        <w:tc>
          <w:tcPr>
            <w:tcW w:w="4000" w:type="dxa"/>
            <w:gridSpan w:val="1"/>
          </w:tcPr>
          <w:p>
            <w:pPr/>
            <w:r>
              <w:rPr>
                <w:b w:val="1"/>
                <w:bCs w:val="1"/>
              </w:rPr>
              <w:t xml:space="preserve">Level at Jun 30, 2023</w:t>
            </w:r>
          </w:p>
        </w:tc>
        <w:tc>
          <w:tcPr>
            <w:tcW w:w="4000" w:type="dxa"/>
            <w:gridSpan w:val="1"/>
          </w:tcPr>
          <w:p>
            <w:pPr/>
            <w:r>
              <w:rPr>
                <w:b w:val="1"/>
                <w:bCs w:val="1"/>
              </w:rPr>
              <w:t xml:space="preserve">Cumulative progress since project start as of Jun 30, 2024</w:t>
            </w:r>
          </w:p>
        </w:tc>
      </w:tr>
      <w:tr>
        <w:trPr/>
        <w:tc>
          <w:tcPr>
            <w:tcW w:w="4000" w:type="dxa"/>
            <w:gridSpan w:val="1"/>
          </w:tcPr>
          <w:p>
            <w:pPr/>
            <w:r>
              <w:rPr/>
              <w:t xml:space="preserve">Indicator 11: Number of reports on best practices and lessons learned on the project shared with the global programme</w:t>
            </w:r>
          </w:p>
        </w:tc>
        <w:tc>
          <w:tcPr>
            <w:tcW w:w="2000" w:type="dxa"/>
            <w:gridSpan w:val="1"/>
          </w:tcPr>
          <w:p>
            <w:pPr/>
            <w:r>
              <w:rPr/>
              <w:t xml:space="preserve">0</w:t>
            </w:r>
          </w:p>
        </w:tc>
        <w:tc>
          <w:tcPr>
            <w:tcW w:w="2000" w:type="dxa"/>
            <w:gridSpan w:val="1"/>
          </w:tcPr>
          <w:p>
            <w:pPr/>
            <w:r>
              <w:rPr/>
              <w:t xml:space="preserve">0</w:t>
            </w:r>
          </w:p>
        </w:tc>
        <w:tc>
          <w:tcPr>
            <w:tcW w:w="2000" w:type="dxa"/>
            <w:gridSpan w:val="1"/>
          </w:tcPr>
          <w:p>
            <w:pPr/>
            <w:r>
              <w:rPr/>
              <w:t xml:space="preserve">6 reports (corresponding to activities 1.2.6, 2.3.3, 2.4.3, 2.5.3, 3.2.2 and 3.2.3)</w:t>
            </w:r>
          </w:p>
        </w:tc>
        <w:tc>
          <w:tcPr>
            <w:tcW w:w="4000" w:type="dxa"/>
            <w:gridSpan w:val="1"/>
          </w:tcPr>
          <w:p>
            <w:pPr/>
            <w:r>
              <w:rPr/>
              <w:t xml:space="preserve">0 Lessons learnt and best practices not yet available.</w:t>
            </w:r>
          </w:p>
        </w:tc>
        <w:tc>
          <w:tcPr>
            <w:tcW w:w="4000" w:type="dxa"/>
            <w:gridSpan w:val="1"/>
          </w:tcPr>
          <w:p>
            <w:pPr/>
            <w:r>
              <w:rPr/>
              <w:t xml:space="preserve">0</w:t>
            </w:r>
          </w:p>
          <w:p>
            <w:pPr/>
            <w:r>
              <w:rPr/>
              <w:t xml:space="preserve"/>
            </w:r>
          </w:p>
          <w:p>
            <w:pPr/>
            <w:r>
              <w:rPr/>
              <w:t xml:space="preserve">Lessons learnt and best practices not yet available.</w:t>
            </w:r>
          </w:p>
          <w:p>
            <w:pPr/>
            <w:r>
              <w:rPr/>
              <w:t xml:space="preserve"/>
            </w:r>
          </w:p>
        </w:tc>
      </w:tr>
      <w:tr>
        <w:trPr/>
        <w:tc>
          <w:tcPr>
            <w:tcW w:w="4000" w:type="dxa"/>
            <w:gridSpan w:val="1"/>
          </w:tcPr>
          <w:p>
            <w:pPr/>
            <w:r>
              <w:rPr>
                <w:b w:val="1"/>
                <w:bCs w:val="1"/>
              </w:rPr>
              <w:t xml:space="preserve">The progress of the objective/outcome can be described as:</w:t>
            </w:r>
          </w:p>
        </w:tc>
        <w:tc>
          <w:tcPr>
            <w:tcW w:w="12000" w:type="dxa"/>
            <w:gridSpan w:val="5"/>
          </w:tcPr>
          <w:p>
            <w:pPr/>
            <w:r>
              <w:rPr>
                <w:b w:val="1"/>
                <w:bCs w:val="1"/>
              </w:rPr>
              <w:t xml:space="preserve">On track</w:t>
            </w:r>
          </w:p>
        </w:tc>
      </w:tr>
      <w:tr>
        <w:trPr/>
        <w:tc>
          <w:tcPr>
            <w:tcW w:w="4000" w:type="dxa"/>
            <w:gridSpan w:val="1"/>
          </w:tcPr>
          <w:p>
            <w:pPr/>
            <w:r>
              <w:rPr>
                <w:b w:val="1"/>
                <w:bCs w:val="1"/>
              </w:rPr>
              <w:t xml:space="preserve">Evidence uploaded:</w:t>
            </w:r>
          </w:p>
        </w:tc>
        <w:tc>
          <w:tcPr>
            <w:tcW w:w="12000" w:type="dxa"/>
            <w:gridSpan w:val="5"/>
          </w:tcPr>
          <w:p>
            <w:pPr/>
            <w:r>
              <w:rPr/>
              <w:t xml:space="preserve">N/A</w:t>
            </w:r>
          </w:p>
        </w:tc>
      </w:tr>
      <w:tr>
        <w:trPr/>
        <w:tc>
          <w:tcPr>
            <w:tcW w:w="4000" w:type="dxa"/>
            <w:gridSpan w:val="1"/>
          </w:tcPr>
          <w:p>
            <w:pPr/>
            <w:r>
              <w:rPr>
                <w:b w:val="1"/>
                <w:bCs w:val="1"/>
              </w:rPr>
              <w:t xml:space="preserve">Explanation why the evidence was not provided:</w:t>
            </w:r>
          </w:p>
        </w:tc>
        <w:tc>
          <w:tcPr>
            <w:tcW w:w="12000" w:type="dxa"/>
            <w:gridSpan w:val="5"/>
          </w:tcPr>
          <w:p>
            <w:pPr>
              <w:spacing w:before="0" w:after="0"/>
            </w:pPr>
            <w:r>
              <w:rPr/>
              <w:t xml:space="preserve">The reports on lessons learned are intended to be compiled at the end of the project and are therefore not available at this time.</w:t>
            </w:r>
          </w:p>
        </w:tc>
      </w:tr>
    </w:tbl>
    <w:p>
      <w:pPr>
        <w:pStyle w:val="Heading2"/>
      </w:pPr>
      <w:bookmarkStart w:id="4" w:name="_Toc4"/>
      <w:r>
        <w:t>Action plan</w:t>
      </w:r>
      <w:bookmarkEnd w:id="4"/>
    </w:p>
    <w:tbl>
      <w:tblGrid>
        <w:gridCol w:w="3000" w:type="dxa"/>
        <w:gridCol w:w="5000" w:type="dxa"/>
        <w:gridCol w:w="5000" w:type="dxa"/>
        <w:gridCol w:w="3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3000" w:type="dxa"/>
            <w:gridSpan w:val="1"/>
          </w:tcPr>
          <w:p>
            <w:pPr/>
            <w:r>
              <w:rPr>
                <w:b w:val="1"/>
                <w:bCs w:val="1"/>
              </w:rPr>
              <w:t xml:space="preserve">Off-track objective/outcome</w:t>
            </w:r>
          </w:p>
        </w:tc>
        <w:tc>
          <w:tcPr>
            <w:tcW w:w="5000" w:type="dxa"/>
            <w:gridSpan w:val="1"/>
          </w:tcPr>
          <w:p>
            <w:pPr/>
            <w:r>
              <w:rPr>
                <w:b w:val="1"/>
                <w:bCs w:val="1"/>
              </w:rPr>
              <w:t xml:space="preserve">Action(s) to be taken</w:t>
            </w:r>
          </w:p>
        </w:tc>
        <w:tc>
          <w:tcPr>
            <w:tcW w:w="5000" w:type="dxa"/>
            <w:gridSpan w:val="1"/>
          </w:tcPr>
          <w:p>
            <w:pPr/>
            <w:r>
              <w:rPr>
                <w:b w:val="1"/>
                <w:bCs w:val="1"/>
              </w:rPr>
              <w:t xml:space="preserve">Responsible party/ies</w:t>
            </w:r>
          </w:p>
        </w:tc>
        <w:tc>
          <w:tcPr>
            <w:tcW w:w="3000" w:type="dxa"/>
            <w:gridSpan w:val="1"/>
          </w:tcPr>
          <w:p>
            <w:pPr/>
            <w:r>
              <w:rPr>
                <w:b w:val="1"/>
                <w:bCs w:val="1"/>
              </w:rPr>
              <w:t xml:space="preserve">Due Date</w:t>
            </w:r>
          </w:p>
        </w:tc>
      </w:tr>
      <w:tr>
        <w:trPr/>
        <w:tc>
          <w:tcPr>
            <w:tcW w:w="3000" w:type="dxa"/>
            <w:gridSpan w:val="1"/>
          </w:tcPr>
          <w:p>
            <w:pPr/>
            <w:r>
              <w:rPr/>
              <w:t xml:space="preserve">Objective</w:t>
            </w:r>
          </w:p>
        </w:tc>
        <w:tc>
          <w:tcPr>
            <w:tcW w:w="5000" w:type="dxa"/>
            <w:gridSpan w:val="1"/>
          </w:tcPr>
          <w:p>
            <w:pPr/>
            <w:r>
              <w:rPr/>
              <w:t xml:space="preserve">Work on the policy aspects of the project, including guidelines on mobility and the e-mobility strategy are already underway; however, these need to be completed and discussed with national stakeholders.  This will be ensured during the coming 2 quarters of the year.</w:t>
            </w:r>
          </w:p>
        </w:tc>
        <w:tc>
          <w:tcPr>
            <w:tcW w:w="5000" w:type="dxa"/>
            <w:gridSpan w:val="1"/>
          </w:tcPr>
          <w:p>
            <w:pPr/>
            <w:r>
              <w:rPr/>
              <w:t xml:space="preserve">UNDP</w:t>
            </w:r>
          </w:p>
        </w:tc>
        <w:tc>
          <w:tcPr>
            <w:tcW w:w="3000" w:type="dxa"/>
            <w:gridSpan w:val="1"/>
          </w:tcPr>
          <w:p>
            <w:pPr/>
            <w:r>
              <w:rPr/>
              <w:t xml:space="preserve">Jun 30, 2025</w:t>
            </w:r>
          </w:p>
        </w:tc>
      </w:tr>
      <w:tr>
        <w:trPr/>
        <w:tc>
          <w:tcPr>
            <w:tcW w:w="3000" w:type="dxa"/>
            <w:gridSpan w:val="1"/>
          </w:tcPr>
          <w:p>
            <w:pPr/>
            <w:r>
              <w:rPr/>
              <w:t xml:space="preserve">Objective</w:t>
            </w:r>
          </w:p>
        </w:tc>
        <w:tc>
          <w:tcPr>
            <w:tcW w:w="5000" w:type="dxa"/>
            <w:gridSpan w:val="1"/>
          </w:tcPr>
          <w:p>
            <w:pPr/>
            <w:r>
              <w:rPr/>
              <w:t xml:space="preserve">The green certification and fleet management concepts will be developed during the next year and UNDP will work more closely with the Internal Security Forces on various aspect of the fleet management to ensure this outcome of the project is met.</w:t>
            </w:r>
          </w:p>
        </w:tc>
        <w:tc>
          <w:tcPr>
            <w:tcW w:w="5000" w:type="dxa"/>
            <w:gridSpan w:val="1"/>
          </w:tcPr>
          <w:p>
            <w:pPr/>
            <w:r>
              <w:rPr/>
              <w:t xml:space="preserve">UNDP</w:t>
            </w:r>
          </w:p>
        </w:tc>
        <w:tc>
          <w:tcPr>
            <w:tcW w:w="3000" w:type="dxa"/>
            <w:gridSpan w:val="1"/>
          </w:tcPr>
          <w:p>
            <w:pPr/>
            <w:r>
              <w:rPr/>
              <w:t xml:space="preserve">Jun 30, 2025</w:t>
            </w:r>
          </w:p>
        </w:tc>
      </w:tr>
    </w:tbl>
    <w:p>
      <w:pPr>
        <w:sectPr>
          <w:pgSz w:orient="landscape" w:w="16837.79527559055" w:h="11905.511811023622"/>
          <w:pgMar w:top="500" w:right="500" w:bottom="500" w:left="500" w:header="720" w:footer="720" w:gutter="0"/>
          <w:cols w:num="1" w:space="720"/>
        </w:sectPr>
      </w:pPr>
    </w:p>
    <w:p>
      <w:pPr>
        <w:pStyle w:val="Heading1"/>
      </w:pPr>
      <w:bookmarkStart w:id="5" w:name="_Toc5"/>
      <w:r>
        <w:t>Implementation Progress</w:t>
      </w:r>
      <w:bookmarkEnd w:id="5"/>
    </w:p>
    <w:tbl>
      <w:tblGrid>
        <w:gridCol w:w="5000" w:type="dxa"/>
        <w:gridCol w:w="5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5000" w:type="dxa"/>
            <w:gridSpan w:val="1"/>
          </w:tcPr>
          <w:p>
            <w:pPr/>
            <w:r>
              <w:rPr/>
              <w:t xml:space="preserve">Cumulative GL delivery against total approved amount (in prodoc):</w:t>
            </w:r>
          </w:p>
        </w:tc>
        <w:tc>
          <w:tcPr>
            <w:tcW w:w="5000" w:type="dxa"/>
            <w:vAlign w:val="center"/>
            <w:gridSpan w:val="1"/>
          </w:tcPr>
          <w:p>
            <w:pPr>
              <w:jc w:val="right"/>
            </w:pPr>
            <w:r>
              <w:rPr/>
              <w:t xml:space="preserve">15.44%</w:t>
            </w:r>
          </w:p>
        </w:tc>
      </w:tr>
      <w:tr>
        <w:trPr/>
        <w:tc>
          <w:tcPr>
            <w:tcW w:w="5000" w:type="dxa"/>
            <w:gridSpan w:val="1"/>
          </w:tcPr>
          <w:p>
            <w:pPr/>
            <w:r>
              <w:rPr/>
              <w:t xml:space="preserve">Cumulative GL delivery against expected delivery as of this year:</w:t>
            </w:r>
          </w:p>
        </w:tc>
        <w:tc>
          <w:tcPr>
            <w:tcW w:w="5000" w:type="dxa"/>
            <w:vAlign w:val="center"/>
            <w:gridSpan w:val="1"/>
          </w:tcPr>
          <w:p>
            <w:pPr>
              <w:jc w:val="right"/>
            </w:pPr>
            <w:r>
              <w:rPr/>
              <w:t xml:space="preserve">20.38%</w:t>
            </w:r>
          </w:p>
        </w:tc>
      </w:tr>
      <w:tr>
        <w:trPr/>
        <w:tc>
          <w:tcPr>
            <w:tcW w:w="5000" w:type="dxa"/>
            <w:gridSpan w:val="1"/>
          </w:tcPr>
          <w:p>
            <w:pPr/>
            <w:r>
              <w:rPr/>
              <w:t xml:space="preserve">Cumulative disbursement as of Jul 31, 2024:</w:t>
            </w:r>
          </w:p>
        </w:tc>
        <w:tc>
          <w:tcPr>
            <w:tcW w:w="5000" w:type="dxa"/>
            <w:vAlign w:val="center"/>
            <w:gridSpan w:val="1"/>
          </w:tcPr>
          <w:p>
            <w:pPr>
              <w:jc w:val="right"/>
            </w:pPr>
            <w:r>
              <w:rPr/>
              <w:t xml:space="preserve">548,658</w:t>
            </w:r>
          </w:p>
        </w:tc>
      </w:tr>
    </w:tbl>
    <w:p>
      <w:pPr>
        <w:pStyle w:val="Heading2"/>
      </w:pPr>
      <w:bookmarkStart w:id="6" w:name="_Toc6"/>
      <w:r>
        <w:t>Key Financing Amounts</w:t>
      </w:r>
      <w:bookmarkEnd w:id="6"/>
    </w:p>
    <w:tbl>
      <w:tblGrid>
        <w:gridCol w:w="5000" w:type="dxa"/>
        <w:gridCol w:w="5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5000" w:type="dxa"/>
            <w:gridSpan w:val="1"/>
          </w:tcPr>
          <w:p>
            <w:pPr/>
            <w:r>
              <w:rPr/>
              <w:t xml:space="preserve">PPG Amount</w:t>
            </w:r>
          </w:p>
        </w:tc>
        <w:tc>
          <w:tcPr>
            <w:tcW w:w="5000" w:type="dxa"/>
            <w:vAlign w:val="center"/>
            <w:gridSpan w:val="1"/>
          </w:tcPr>
          <w:p>
            <w:pPr>
              <w:jc w:val="right"/>
            </w:pPr>
            <w:r>
              <w:rPr/>
              <w:t xml:space="preserve">100,000</w:t>
            </w:r>
          </w:p>
        </w:tc>
      </w:tr>
      <w:tr>
        <w:trPr/>
        <w:tc>
          <w:tcPr>
            <w:tcW w:w="5000" w:type="dxa"/>
            <w:gridSpan w:val="1"/>
          </w:tcPr>
          <w:p>
            <w:pPr/>
            <w:r>
              <w:rPr/>
              <w:t xml:space="preserve">GEF Grant Amount</w:t>
            </w:r>
          </w:p>
        </w:tc>
        <w:tc>
          <w:tcPr>
            <w:tcW w:w="5000" w:type="dxa"/>
            <w:vAlign w:val="center"/>
            <w:gridSpan w:val="1"/>
          </w:tcPr>
          <w:p>
            <w:pPr>
              <w:jc w:val="right"/>
            </w:pPr>
            <w:r>
              <w:rPr/>
              <w:t xml:space="preserve">3,552,968</w:t>
            </w:r>
          </w:p>
        </w:tc>
      </w:tr>
      <w:tr>
        <w:trPr/>
        <w:tc>
          <w:tcPr>
            <w:tcW w:w="5000" w:type="dxa"/>
            <w:gridSpan w:val="1"/>
          </w:tcPr>
          <w:p>
            <w:pPr/>
            <w:r>
              <w:rPr/>
              <w:t xml:space="preserve">Co-financing</w:t>
            </w:r>
          </w:p>
        </w:tc>
        <w:tc>
          <w:tcPr>
            <w:tcW w:w="5000" w:type="dxa"/>
            <w:vAlign w:val="center"/>
            <w:gridSpan w:val="1"/>
          </w:tcPr>
          <w:p>
            <w:pPr>
              <w:jc w:val="right"/>
            </w:pPr>
            <w:r>
              <w:rPr/>
              <w:t xml:space="preserve">44,477,182</w:t>
            </w:r>
          </w:p>
        </w:tc>
      </w:tr>
    </w:tbl>
    <w:p>
      <w:pPr>
        <w:pStyle w:val="Heading2"/>
      </w:pPr>
      <w:bookmarkStart w:id="7" w:name="_Toc7"/>
      <w:r>
        <w:t>Key Project Dates</w:t>
      </w:r>
      <w:bookmarkEnd w:id="7"/>
    </w:p>
    <w:tbl>
      <w:tblGrid>
        <w:gridCol w:w="5000" w:type="dxa"/>
        <w:gridCol w:w="5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5000" w:type="dxa"/>
            <w:gridSpan w:val="1"/>
          </w:tcPr>
          <w:p>
            <w:pPr/>
            <w:r>
              <w:rPr/>
              <w:t xml:space="preserve">Project duration</w:t>
            </w:r>
          </w:p>
        </w:tc>
        <w:tc>
          <w:tcPr>
            <w:tcW w:w="5000" w:type="dxa"/>
            <w:vAlign w:val="center"/>
            <w:gridSpan w:val="1"/>
          </w:tcPr>
          <w:p>
            <w:pPr>
              <w:jc w:val="right"/>
            </w:pPr>
            <w:r>
              <w:rPr/>
              <w:t xml:space="preserve">60 months</w:t>
            </w:r>
          </w:p>
        </w:tc>
      </w:tr>
      <w:tr>
        <w:trPr/>
        <w:tc>
          <w:tcPr>
            <w:tcW w:w="5000" w:type="dxa"/>
            <w:gridSpan w:val="1"/>
          </w:tcPr>
          <w:p>
            <w:pPr/>
            <w:r>
              <w:rPr/>
              <w:t xml:space="preserve">PIF Approval Date</w:t>
            </w:r>
          </w:p>
        </w:tc>
        <w:tc>
          <w:tcPr>
            <w:tcW w:w="5000" w:type="dxa"/>
            <w:vAlign w:val="center"/>
            <w:gridSpan w:val="1"/>
          </w:tcPr>
          <w:p>
            <w:pPr>
              <w:jc w:val="right"/>
            </w:pPr>
            <w:r>
              <w:rPr/>
              <w:t xml:space="preserve">Dec 20, 2019</w:t>
            </w:r>
          </w:p>
        </w:tc>
      </w:tr>
      <w:tr>
        <w:trPr/>
        <w:tc>
          <w:tcPr>
            <w:tcW w:w="5000" w:type="dxa"/>
            <w:gridSpan w:val="1"/>
          </w:tcPr>
          <w:p>
            <w:pPr/>
            <w:r>
              <w:rPr/>
              <w:t xml:space="preserve">CEO Endorsement Date</w:t>
            </w:r>
          </w:p>
        </w:tc>
        <w:tc>
          <w:tcPr>
            <w:tcW w:w="5000" w:type="dxa"/>
            <w:vAlign w:val="center"/>
            <w:gridSpan w:val="1"/>
          </w:tcPr>
          <w:p>
            <w:pPr>
              <w:jc w:val="right"/>
            </w:pPr>
            <w:r>
              <w:rPr/>
              <w:t xml:space="preserve">Dec 8, 2021</w:t>
            </w:r>
          </w:p>
        </w:tc>
      </w:tr>
      <w:tr>
        <w:trPr/>
        <w:tc>
          <w:tcPr>
            <w:tcW w:w="5000" w:type="dxa"/>
            <w:gridSpan w:val="1"/>
          </w:tcPr>
          <w:p>
            <w:pPr/>
            <w:r>
              <w:rPr/>
              <w:t xml:space="preserve">Project Document Signature Date (project start date):</w:t>
            </w:r>
          </w:p>
        </w:tc>
        <w:tc>
          <w:tcPr>
            <w:tcW w:w="5000" w:type="dxa"/>
            <w:vAlign w:val="center"/>
            <w:gridSpan w:val="1"/>
          </w:tcPr>
          <w:p>
            <w:pPr>
              <w:jc w:val="right"/>
            </w:pPr>
            <w:r>
              <w:rPr/>
              <w:t xml:space="preserve">May 29, 2022</w:t>
            </w:r>
          </w:p>
        </w:tc>
      </w:tr>
      <w:tr>
        <w:trPr/>
        <w:tc>
          <w:tcPr>
            <w:tcW w:w="5000" w:type="dxa"/>
            <w:gridSpan w:val="1"/>
          </w:tcPr>
          <w:p>
            <w:pPr/>
            <w:r>
              <w:rPr/>
              <w:t xml:space="preserve">Date of Inception Workshop</w:t>
            </w:r>
          </w:p>
        </w:tc>
        <w:tc>
          <w:tcPr>
            <w:tcW w:w="5000" w:type="dxa"/>
            <w:vAlign w:val="center"/>
            <w:gridSpan w:val="1"/>
          </w:tcPr>
          <w:p>
            <w:pPr>
              <w:jc w:val="right"/>
            </w:pPr>
            <w:r>
              <w:rPr/>
              <w:t xml:space="preserve">Oct 14, 2022</w:t>
            </w:r>
          </w:p>
        </w:tc>
      </w:tr>
      <w:tr>
        <w:trPr/>
        <w:tc>
          <w:tcPr>
            <w:tcW w:w="5000" w:type="dxa"/>
            <w:gridSpan w:val="1"/>
          </w:tcPr>
          <w:p>
            <w:pPr/>
            <w:r>
              <w:rPr/>
              <w:t xml:space="preserve">First Disbursement Date</w:t>
            </w:r>
          </w:p>
        </w:tc>
        <w:tc>
          <w:tcPr>
            <w:tcW w:w="5000" w:type="dxa"/>
            <w:vAlign w:val="center"/>
            <w:gridSpan w:val="1"/>
          </w:tcPr>
          <w:p>
            <w:pPr>
              <w:jc w:val="right"/>
            </w:pPr>
            <w:r>
              <w:rPr/>
              <w:t xml:space="preserve">Jul 27, 2022</w:t>
            </w:r>
          </w:p>
        </w:tc>
      </w:tr>
      <w:tr>
        <w:trPr/>
        <w:tc>
          <w:tcPr>
            <w:tcW w:w="5000" w:type="dxa"/>
            <w:gridSpan w:val="1"/>
          </w:tcPr>
          <w:p>
            <w:pPr/>
            <w:r>
              <w:rPr/>
              <w:t xml:space="preserve">Expected Date of Mid-term Review</w:t>
            </w:r>
          </w:p>
        </w:tc>
        <w:tc>
          <w:tcPr>
            <w:tcW w:w="5000" w:type="dxa"/>
            <w:vAlign w:val="center"/>
            <w:gridSpan w:val="1"/>
          </w:tcPr>
          <w:p>
            <w:pPr>
              <w:jc w:val="right"/>
            </w:pPr>
            <w:r>
              <w:rPr/>
              <w:t xml:space="preserve">Nov 29, 2024</w:t>
            </w:r>
          </w:p>
        </w:tc>
      </w:tr>
      <w:tr>
        <w:trPr/>
        <w:tc>
          <w:tcPr>
            <w:tcW w:w="5000" w:type="dxa"/>
            <w:gridSpan w:val="1"/>
          </w:tcPr>
          <w:p>
            <w:pPr/>
            <w:r>
              <w:rPr/>
              <w:t xml:space="preserve">Actual Date of Mid-term Review</w:t>
            </w:r>
          </w:p>
        </w:tc>
        <w:tc>
          <w:tcPr>
            <w:tcW w:w="5000" w:type="dxa"/>
            <w:vAlign w:val="center"/>
            <w:gridSpan w:val="1"/>
          </w:tcPr>
          <w:p>
            <w:pPr>
              <w:jc w:val="right"/>
            </w:pPr>
            <w:r>
              <w:rPr>
                <w:i w:val="1"/>
                <w:iCs w:val="1"/>
              </w:rPr>
              <w:t xml:space="preserve">(not set or not applicable)</w:t>
            </w:r>
          </w:p>
        </w:tc>
      </w:tr>
      <w:tr>
        <w:trPr/>
        <w:tc>
          <w:tcPr>
            <w:tcW w:w="5000" w:type="dxa"/>
            <w:gridSpan w:val="1"/>
          </w:tcPr>
          <w:p>
            <w:pPr/>
            <w:r>
              <w:rPr/>
              <w:t xml:space="preserve">Expected Date of Terminal Evaluation</w:t>
            </w:r>
          </w:p>
        </w:tc>
        <w:tc>
          <w:tcPr>
            <w:tcW w:w="5000" w:type="dxa"/>
            <w:vAlign w:val="center"/>
            <w:gridSpan w:val="1"/>
          </w:tcPr>
          <w:p>
            <w:pPr>
              <w:jc w:val="right"/>
            </w:pPr>
            <w:r>
              <w:rPr/>
              <w:t xml:space="preserve">Mar 1, 2027</w:t>
            </w:r>
          </w:p>
        </w:tc>
      </w:tr>
      <w:tr>
        <w:trPr/>
        <w:tc>
          <w:tcPr>
            <w:tcW w:w="5000" w:type="dxa"/>
            <w:gridSpan w:val="1"/>
          </w:tcPr>
          <w:p>
            <w:pPr/>
            <w:r>
              <w:rPr/>
              <w:t xml:space="preserve">Original Planned Closing Date</w:t>
            </w:r>
          </w:p>
        </w:tc>
        <w:tc>
          <w:tcPr>
            <w:tcW w:w="5000" w:type="dxa"/>
            <w:vAlign w:val="center"/>
            <w:gridSpan w:val="1"/>
          </w:tcPr>
          <w:p>
            <w:pPr>
              <w:jc w:val="right"/>
            </w:pPr>
            <w:r>
              <w:rPr/>
              <w:t xml:space="preserve">May 29, 2027</w:t>
            </w:r>
          </w:p>
        </w:tc>
      </w:tr>
      <w:tr>
        <w:trPr/>
        <w:tc>
          <w:tcPr>
            <w:tcW w:w="5000" w:type="dxa"/>
            <w:gridSpan w:val="1"/>
          </w:tcPr>
          <w:p>
            <w:pPr/>
            <w:r>
              <w:rPr/>
              <w:t xml:space="preserve">Revised Planned Closing Date</w:t>
            </w:r>
          </w:p>
        </w:tc>
        <w:tc>
          <w:tcPr>
            <w:tcW w:w="5000" w:type="dxa"/>
            <w:vAlign w:val="center"/>
            <w:gridSpan w:val="1"/>
          </w:tcPr>
          <w:p>
            <w:pPr>
              <w:jc w:val="right"/>
            </w:pPr>
            <w:r>
              <w:rPr>
                <w:i w:val="1"/>
                <w:iCs w:val="1"/>
              </w:rPr>
              <w:t xml:space="preserve">(not set or not applicable)</w:t>
            </w:r>
          </w:p>
        </w:tc>
      </w:tr>
    </w:tbl>
    <w:p>
      <w:pPr/>
      <w:r>
        <w:rPr/>
        <w:t xml:space="preserve"/>
      </w:r>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gridSpan w:val="1"/>
          </w:tcPr>
          <w:p>
            <w:pPr/>
            <w:r>
              <w:rPr>
                <w:b w:val="1"/>
                <w:bCs w:val="1"/>
              </w:rPr>
              <w:t xml:space="preserve">Dates of Project Steering Committee/Board Meetings during reporting period (30 June 2023 to 1 July 2024)</w:t>
            </w:r>
          </w:p>
        </w:tc>
      </w:tr>
      <w:tr>
        <w:trPr/>
        <w:tc>
          <w:tcPr>
            <w:tcW w:w="10000" w:type="dxa"/>
            <w:gridSpan w:val="1"/>
          </w:tcPr>
          <w:p>
            <w:pPr/>
            <w:r>
              <w:rPr/>
              <w:t xml:space="preserve">2023-12-12</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Project Manager: Please provide comments on delays this reporting period in achieving any of the following key project milestones outlined in the above 'Key Project Dates' table.  Include comments on COVID-19 related challenges, delays and impact.  If there are no delays, please indicated 'not applicable'.</w:t>
            </w:r>
          </w:p>
        </w:tc>
      </w:tr>
      <w:tr>
        <w:trPr/>
        <w:tc>
          <w:tcPr>
            <w:tcW w:w="10000" w:type="dxa"/>
            <w:gridSpan w:val="1"/>
          </w:tcPr>
          <w:p>
            <w:pPr/>
            <w:r>
              <w:rPr/>
              <w:t xml:space="preserve">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CO Programme Officer: Please include specific measures to manage the project's implementation performance</w:t>
            </w:r>
          </w:p>
          <w:p>
            <w:pPr/>
            <w:r>
              <w:rPr>
                <w:b w:val="1"/>
                <w:bCs w:val="1"/>
              </w:rPr>
              <w:t xml:space="preserve"/>
            </w:r>
          </w:p>
          <w:p>
            <w:pPr/>
            <w:r>
              <w:rPr>
                <w:b w:val="1"/>
                <w:bCs w:val="1"/>
              </w:rPr>
              <w:t xml:space="preserve"/>
            </w:r>
          </w:p>
        </w:tc>
      </w:tr>
      <w:tr>
        <w:trPr/>
        <w:tc>
          <w:tcPr>
            <w:tcW w:w="10000" w:type="dxa"/>
            <w:gridSpan w:val="1"/>
          </w:tcPr>
          <w:p>
            <w:pPr/>
            <w:r>
              <w:rPr/>
              <w:t xml:space="preserve">The project is being supported and follow-up ensured on a weekly basis as needed by the project team and also on a quarterly basis with the DRR and the CO programme management unit.</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BPPS RTA: Please include specific measures to manage the project's implementation performance.</w:t>
            </w:r>
          </w:p>
        </w:tc>
      </w:tr>
      <w:tr>
        <w:trPr/>
        <w:tc>
          <w:tcPr>
            <w:tcW w:w="10000" w:type="dxa"/>
            <w:gridSpan w:val="1"/>
          </w:tcPr>
          <w:p>
            <w:pPr/>
            <w:r>
              <w:rPr/>
              <w:t xml:space="preserve">The project has suffered numerous setbacks and delays since the early stage of the project implementation, some of the driving factors are beyond the control of the project team or the UNDP CO (e.g. regional conflict and instability, war in the southern part of Lebanon and the economic crisis). Again, with the protracted political conflict, unless significant adaptive management and delivery acceleration measures are instituted immediately, it will be tough for the project to deliver its objectives on time.</w:t>
            </w:r>
          </w:p>
          <w:p>
            <w:pPr/>
            <w:r>
              <w:rPr/>
              <w:t xml:space="preserve">In addition to the acceleration measures suggested by the CO, the project should undertake a comprehensive analysis to define the best way forward. This analysis should identify actionable interventions that are within the control of the project management, and these should be integrated into a delivery acceleration plan. The suggested measures are as follows, but are not limited to:</w:t>
            </w:r>
          </w:p>
          <w:p>
            <w:pPr/>
            <w:r>
              <w:rPr/>
              <w:t xml:space="preserve">1.	Review and revise the project’s multi-year work plan. This could be presented as a Gantt Chart to facilitate tracking the impacts of the delays in implementing activity on subsequent actions.</w:t>
            </w:r>
          </w:p>
          <w:p>
            <w:pPr/>
            <w:r>
              <w:rPr/>
              <w:t xml:space="preserve">2.	Develop a detailed operational procurement plan with key steps, timelines, and responsibilities in support of the AWP, which will enable work to be carried out according to schedule.</w:t>
            </w:r>
          </w:p>
          <w:p>
            <w:pPr/>
            <w:r>
              <w:rPr/>
              <w:t xml:space="preserve"/>
            </w:r>
          </w:p>
          <w:p>
            <w:pPr/>
            <w:r>
              <w:rPr/>
              <w:t xml:space="preserve">The project will undergo a mid-term review later this year, this is an important opportunity to review the project's progress against its targets and propose the best way forward to advance the work.</w:t>
            </w:r>
          </w:p>
          <w:p>
            <w:pPr/>
            <w:r>
              <w:rPr/>
              <w:t xml:space="preserve"/>
            </w:r>
          </w:p>
          <w:p>
            <w:pPr/>
            <w:r>
              <w:rPr/>
              <w:t xml:space="preserve">The RTA is also planning to field a mission either to join the MTR team end of 2024 or during the first two quarters of 2025 to coincide with the commencement of the installation of the solar PV systems.</w:t>
            </w:r>
          </w:p>
        </w:tc>
      </w:tr>
    </w:tbl>
    <w:p>
      <w:pPr>
        <w:sectPr>
          <w:pgSz w:orient="portrait" w:w="11905.511811023622" w:h="16837.79527559055"/>
          <w:pgMar w:top="1440" w:right="1440" w:bottom="1440" w:left="1440" w:header="720" w:footer="720" w:gutter="0"/>
          <w:cols w:num="1" w:space="720"/>
        </w:sectPr>
      </w:pPr>
    </w:p>
    <w:p>
      <w:pPr>
        <w:pStyle w:val="Heading1"/>
      </w:pPr>
      <w:bookmarkStart w:id="8" w:name="_Toc8"/>
      <w:r>
        <w:t>Project Governance</w:t>
      </w:r>
      <w:bookmarkEnd w:id="8"/>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1) Please enter the dates of Project Board meetings during the reporting period (1 July 2023 to 30 June 2024)</w:t>
            </w:r>
          </w:p>
        </w:tc>
      </w:tr>
      <w:tr>
        <w:trPr/>
        <w:tc>
          <w:tcPr>
            <w:tcW w:w="10000" w:type="dxa"/>
            <w:gridSpan w:val="1"/>
          </w:tcPr>
          <w:p>
            <w:pPr/>
            <w:r>
              <w:rPr/>
              <w:t xml:space="preserve">2023-12-12</w:t>
            </w:r>
          </w:p>
        </w:tc>
      </w:tr>
    </w:tbl>
    <w:p>
      <w:pPr>
        <w:sectPr>
          <w:pgSz w:orient="portrait" w:w="11905.511811023622" w:h="16837.79527559055"/>
          <w:pgMar w:top="1440" w:right="1440" w:bottom="1440" w:left="1440" w:header="720" w:footer="720" w:gutter="0"/>
          <w:cols w:num="1" w:space="720"/>
        </w:sectPr>
      </w:pPr>
    </w:p>
    <w:p>
      <w:pPr>
        <w:pStyle w:val="Heading1"/>
      </w:pPr>
      <w:bookmarkStart w:id="9" w:name="_Toc9"/>
      <w:r>
        <w:t>Ratings and Overall Assessments</w:t>
      </w:r>
      <w:bookmarkEnd w:id="9"/>
    </w:p>
    <w:tbl>
      <w:tblGrid>
        <w:gridCol w:w="5000" w:type="dxa"/>
        <w:gridCol w:w="5000" w:type="dxa"/>
        <w:gridCol w:w="5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5000" w:type="dxa"/>
            <w:gridSpan w:val="1"/>
          </w:tcPr>
          <w:p>
            <w:pPr/>
            <w:r>
              <w:rPr>
                <w:b w:val="1"/>
                <w:bCs w:val="1"/>
              </w:rPr>
              <w:t xml:space="preserve">Role</w:t>
            </w:r>
          </w:p>
        </w:tc>
        <w:tc>
          <w:tcPr>
            <w:tcW w:w="5000" w:type="dxa"/>
            <w:gridSpan w:val="1"/>
          </w:tcPr>
          <w:p>
            <w:pPr/>
            <w:r>
              <w:rPr>
                <w:b w:val="1"/>
                <w:bCs w:val="1"/>
              </w:rPr>
              <w:t xml:space="preserve">2024 Development Objective Progress Rating</w:t>
            </w:r>
          </w:p>
        </w:tc>
        <w:tc>
          <w:tcPr>
            <w:tcW w:w="5000" w:type="dxa"/>
            <w:gridSpan w:val="1"/>
          </w:tcPr>
          <w:p>
            <w:pPr/>
            <w:r>
              <w:rPr>
                <w:b w:val="1"/>
                <w:bCs w:val="1"/>
              </w:rPr>
              <w:t xml:space="preserve">2024 Implementation Progress Rating</w:t>
            </w:r>
          </w:p>
        </w:tc>
      </w:tr>
      <w:tr>
        <w:trPr/>
        <w:tc>
          <w:tcPr>
            <w:tcW w:w="5000" w:type="dxa"/>
            <w:gridSpan w:val="1"/>
          </w:tcPr>
          <w:p>
            <w:pPr/>
            <w:r>
              <w:rPr>
                <w:b w:val="1"/>
                <w:bCs w:val="1"/>
              </w:rPr>
              <w:t xml:space="preserve">UNDP BPPS Technical Advisor</w:t>
            </w:r>
          </w:p>
        </w:tc>
        <w:tc>
          <w:tcPr>
            <w:tcW w:w="5000" w:type="dxa"/>
            <w:gridSpan w:val="1"/>
          </w:tcPr>
          <w:p>
            <w:pPr/>
            <w:r>
              <w:rPr/>
              <w:t xml:space="preserve">Satisfactory</w:t>
            </w:r>
          </w:p>
        </w:tc>
        <w:tc>
          <w:tcPr>
            <w:tcW w:w="5000" w:type="dxa"/>
            <w:gridSpan w:val="1"/>
          </w:tcPr>
          <w:p>
            <w:pPr/>
            <w:r>
              <w:rPr/>
              <w:t xml:space="preserve">Moderately Satisfactory</w:t>
            </w:r>
          </w:p>
        </w:tc>
      </w:tr>
      <w:tr>
        <w:trPr/>
        <w:tc>
          <w:tcPr>
            <w:tcW w:w="5000" w:type="dxa"/>
            <w:gridSpan w:val="1"/>
          </w:tcPr>
          <w:p>
            <w:pPr/>
            <w:r>
              <w:rPr>
                <w:b w:val="1"/>
                <w:bCs w:val="1"/>
              </w:rPr>
              <w:t xml:space="preserve">UNDP Country Office Programme Officer</w:t>
            </w:r>
          </w:p>
        </w:tc>
        <w:tc>
          <w:tcPr>
            <w:tcW w:w="5000" w:type="dxa"/>
            <w:gridSpan w:val="1"/>
          </w:tcPr>
          <w:p>
            <w:pPr/>
            <w:r>
              <w:rPr/>
              <w:t xml:space="preserve">Satisfactory</w:t>
            </w:r>
          </w:p>
        </w:tc>
        <w:tc>
          <w:tcPr>
            <w:tcW w:w="5000" w:type="dxa"/>
            <w:gridSpan w:val="1"/>
          </w:tcPr>
          <w:p>
            <w:pPr/>
            <w:r>
              <w:rPr/>
              <w:t xml:space="preserve">Moderately Satisfactory</w:t>
            </w:r>
          </w:p>
        </w:tc>
      </w:tr>
    </w:tbl>
    <w:p>
      <w:pPr/>
      <w:r>
        <w:rPr/>
        <w:t xml:space="preserve"/>
      </w:r>
    </w:p>
    <w:tbl>
      <w:tblGrid>
        <w:gridCol w:w="5000" w:type="dxa"/>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5000" w:type="dxa"/>
            <w:gridSpan w:val="1"/>
          </w:tcPr>
          <w:p>
            <w:pPr/>
            <w:r>
              <w:rPr>
                <w:b w:val="1"/>
                <w:bCs w:val="1"/>
              </w:rPr>
              <w:t xml:space="preserve">Role</w:t>
            </w:r>
          </w:p>
        </w:tc>
        <w:tc>
          <w:tcPr>
            <w:tcW w:w="10000" w:type="dxa"/>
            <w:gridSpan w:val="1"/>
          </w:tcPr>
          <w:p>
            <w:pPr/>
            <w:r>
              <w:rPr>
                <w:b w:val="1"/>
                <w:bCs w:val="1"/>
              </w:rPr>
              <w:t xml:space="preserve">2024 Overall Assessment</w:t>
            </w:r>
          </w:p>
        </w:tc>
      </w:tr>
      <w:tr>
        <w:trPr/>
        <w:tc>
          <w:tcPr>
            <w:tcW w:w="5000" w:type="dxa"/>
            <w:gridSpan w:val="1"/>
          </w:tcPr>
          <w:p>
            <w:pPr/>
            <w:r>
              <w:rPr>
                <w:b w:val="1"/>
                <w:bCs w:val="1"/>
              </w:rPr>
              <w:t xml:space="preserve">UNDP BPPS Technical Advisor</w:t>
            </w:r>
          </w:p>
        </w:tc>
        <w:tc>
          <w:tcPr>
            <w:tcW w:w="10000" w:type="dxa"/>
            <w:gridSpan w:val="1"/>
          </w:tcPr>
          <w:p>
            <w:pPr/>
            <w:r>
              <w:rPr/>
              <w:t xml:space="preserve">The “Lebanon Sustainable Low-emission Transport System project”, is an important initiative for the country, given the very rich solar resources and the very limited traditional energy sources. The project aims to curb the unsustainable trends in passenger transport in Lebanon, accelerating the country’s transition towards sustainable mobility in Lebanon to reduce GHG emissions, increase the quality of transport services and the competitiveness and sustainable practices of companies, and improve the quality of life and social and gender inclusion.</w:t>
            </w:r>
          </w:p>
          <w:p>
            <w:pPr/>
            <w:r>
              <w:rPr/>
              <w:t xml:space="preserve"/>
            </w:r>
          </w:p>
          <w:p>
            <w:pPr/>
            <w:r>
              <w:rPr/>
              <w:t xml:space="preserve">The project proposes several approaches: on the one hand to tackle the policy issues and provide technical options for the best way forward to improve the situation in transport and to introduce efficient transport technologies to the market. On the other hand, the project will consider piloting a renewable energy pilot application for charging stations or some other modality to determine the applicability of charging electric vehicles. Finally, the project will work with NGOs and universities to promote research on the topic and raise awareness of sustainable transport and modal transport change.</w:t>
            </w:r>
          </w:p>
          <w:p>
            <w:pPr/>
            <w:r>
              <w:rPr/>
              <w:t xml:space="preserve"/>
            </w:r>
          </w:p>
          <w:p>
            <w:pPr/>
            <w:r>
              <w:rPr/>
              <w:t xml:space="preserve">The project's main objective is the Promotion of Sustainable Transport in Lebanon using transport demand management and low-carbon vehicles. It consists of 4 main components; Component 1: The institutional framework empowers key stakeholders to facilitate sustainable door-to-door mobility practices and to adopt e-mobility 2: Short-term barrier removal through e-mobility and other low-carbon demonstrations. Component 3: Knowledge management, capacity development, and awareness raising. Component 4: Monitoring and Evaluation.</w:t>
            </w:r>
          </w:p>
          <w:p>
            <w:pPr/>
            <w:r>
              <w:rPr/>
              <w:t xml:space="preserve"/>
            </w:r>
          </w:p>
          <w:p>
            <w:pPr/>
            <w:r>
              <w:rPr/>
              <w:t xml:space="preserve">The project started within a challenging environment, with political instabilities and acute economic crisis which impacted the project's implementation. The project document was signed in May 2022 and marked the official start date of the project for 5 years until 2027. The inception workshop took place in October 2022. This means that this is the second year of the project implementation, and this PIR is the second report.</w:t>
            </w:r>
          </w:p>
          <w:p>
            <w:pPr/>
            <w:r>
              <w:rPr/>
              <w:t xml:space="preserve"/>
            </w:r>
          </w:p>
          <w:p>
            <w:pPr/>
            <w:r>
              <w:rPr/>
              <w:t xml:space="preserve">Project Progress:</w:t>
            </w:r>
          </w:p>
          <w:p>
            <w:pPr/>
            <w:r>
              <w:rPr/>
              <w:t xml:space="preserve"/>
            </w:r>
          </w:p>
          <w:p>
            <w:pPr/>
            <w:r>
              <w:rPr/>
              <w:t xml:space="preserve">Below is a summary of what was achieved by the project during the current reporting period with the details of what has happened.</w:t>
            </w:r>
          </w:p>
          <w:p>
            <w:pPr/>
            <w:r>
              <w:rPr/>
              <w:t xml:space="preserve">The project has 4 main outcomes as per the Project Document. Several indicators have been associated with the targets. Compared to last year, where delivery was 0.53%, the project increased its delivery, reaching 15.26% this year ($542,236). This still can be considered low if we consider that this is the second year of the project implementation.</w:t>
            </w:r>
          </w:p>
          <w:p>
            <w:pPr/>
            <w:r>
              <w:rPr/>
              <w:t xml:space="preserve">It is however, understood that a very high portion of the budget is already committed to two major procurements, and the Project is just waiting for procurement processes to be finalized to start the actual implementation of the hard components of the project.</w:t>
            </w:r>
          </w:p>
          <w:p>
            <w:pPr/>
            <w:r>
              <w:rPr/>
              <w:t xml:space="preserve">Despite this challenge, the project started to achieve some substantive results on the ground for outcomes 3 and 4, while outcomes 1 and 2 are still far beyond the target.</w:t>
            </w:r>
          </w:p>
          <w:p>
            <w:pPr/>
            <w:r>
              <w:rPr/>
              <w:t xml:space="preserve"/>
            </w:r>
          </w:p>
          <w:p>
            <w:pPr/>
            <w:r>
              <w:rPr/>
              <w:t xml:space="preserve">In summary:</w:t>
            </w:r>
          </w:p>
          <w:p>
            <w:pPr/>
            <w:r>
              <w:rPr/>
              <w:t xml:space="preserve"/>
            </w:r>
          </w:p>
          <w:p>
            <w:pPr/>
            <w:r>
              <w:rPr/>
              <w:t xml:space="preserve">Outcome 1 on Strengthened policy and social environment to support the promotion of sustainable low-emissions transport systems is off-track.</w:t>
            </w:r>
          </w:p>
          <w:p>
            <w:pPr/>
            <w:r>
              <w:rPr/>
              <w:t xml:space="preserve">According to the ProDoc, a national e-mobility strategy should have been developed and presented to key stakeholders by the midterm point of the project implementation. While the MTR is scheduled for November 2024, the work on the strategy has not started yet.  The country is facing an acute electricity shortage and thus the project team found it difficult to develop a national e-mobility strategy under the current electricity shortage. Yet, the project will integrate the concept of system dynamics modeling, which offers the flexibility to adjust variables such as grid electricity shortages into the e-mobility strategy. This mitigation measure will help the team to ensure that the national e-mobility strategy can be easily re-modeled once the energy sector improves.</w:t>
            </w:r>
          </w:p>
          <w:p>
            <w:pPr/>
            <w:r>
              <w:rPr/>
              <w:t xml:space="preserve">However, the project has made some progress in developing the green public service and green fleet management certification guidelines, however, 2 agreements should have been operationalized with a minimum of 2 bus companies to carry out the pilots.</w:t>
            </w:r>
          </w:p>
          <w:p>
            <w:pPr/>
            <w:r>
              <w:rPr/>
              <w:t xml:space="preserve"/>
            </w:r>
          </w:p>
          <w:p>
            <w:pPr/>
            <w:r>
              <w:rPr/>
              <w:t xml:space="preserve">Outcome 2 Demonstrations provide evidence of technical, financial, and environmental sustainability to plan for scale-up of low-carbon electric mobility is off-track. Although the project managed to have 2878 EV cars registered in Lebanon based on official registration data, which is way higher than the target (+4 cars and 1 bus), this massive increase could be attributed to other factors- in addition to the project- including, the global trends in the EV markets, the tax exemption on EV, and the energy crisis in Lebanon.</w:t>
            </w:r>
          </w:p>
          <w:p>
            <w:pPr/>
            <w:r>
              <w:rPr/>
              <w:t xml:space="preserve">however, since the green public transport services have not been initiated yet, thus there are no passengers taking use of green public transport services in the northern corridor even after two years of the project implementation.</w:t>
            </w:r>
          </w:p>
          <w:p>
            <w:pPr/>
            <w:r>
              <w:rPr/>
              <w:t xml:space="preserve"/>
            </w:r>
          </w:p>
          <w:p>
            <w:pPr/>
            <w:r>
              <w:rPr/>
              <w:t xml:space="preserve">Outcome 3 Sustainable low-emission transport programs widely supported is in progress. The project actively engaged governmental and nongovernmental stakeholders in the e-mobility and sustainable transport networks. Since the project's inception, 3 main events were organized in December 2022, May 2023, and September 2023. Stakeholders include 3 governmental and 7 non-governmental entities.</w:t>
            </w:r>
          </w:p>
          <w:p>
            <w:pPr/>
            <w:r>
              <w:rPr/>
              <w:t xml:space="preserve">The project also made good progress in building the capacity of the public and private decision-makers on technical issues related to e-mobility, this includes 5 women, and 11 men as follows: 3 women, 7 men from the public entities, and 2 women and 4 men from the private entities.</w:t>
            </w:r>
          </w:p>
          <w:p>
            <w:pPr/>
            <w:r>
              <w:rPr/>
              <w:t xml:space="preserve"/>
            </w:r>
          </w:p>
          <w:p>
            <w:pPr/>
            <w:r>
              <w:rPr/>
              <w:t xml:space="preserve">Outcome 4 on Monitoring &amp; Evaluation is on-track. The project initiated the work, however, the 6 required reports to be developed by the project are not planned for this reporting period.</w:t>
            </w:r>
          </w:p>
          <w:p>
            <w:pPr/>
            <w:r>
              <w:rPr/>
              <w:t xml:space="preserve">As indicated and discussed above, the cumulative delivery against the total approved amount moved from 0.53% (18,863 USD) in 2023 to 15.26% (542,236 USD) in 2024.</w:t>
            </w:r>
          </w:p>
          <w:p>
            <w:pPr/>
            <w:r>
              <w:rPr/>
              <w:t xml:space="preserve"/>
            </w:r>
          </w:p>
          <w:p>
            <w:pPr/>
            <w:r>
              <w:rPr/>
              <w:t xml:space="preserve">Challenges and risks:</w:t>
            </w:r>
          </w:p>
          <w:p>
            <w:pPr/>
            <w:r>
              <w:rPr/>
              <w:t xml:space="preserve"/>
            </w:r>
          </w:p>
          <w:p>
            <w:pPr/>
            <w:r>
              <w:rPr/>
              <w:t xml:space="preserve">The war between Russia and Ukraine created a global crisis in the energy sector, which is now combined with regional instability and conflict in addition to the collapse of the banking and financial systems in Lebanon. Supply chain routes were affected, and prices of the materials went up. At the same time, there is a currency challenge, with the Lebanese Lira devaluation by over 98% between January 2023 and March 2024, with an annual inflation rate of 221.3% in 2023. Public services have collapsed; without using a private generator, households can expect only an hour or so of power a day. As a result, the project has had to adapt to this new reality, recognizing that promoting e-mobility and electric vehicles becomes very challenging when there is insufficient electricity even for households and industries.  Although the low delivery of the project due to these challenges is understandable, the RTA strongly encourages the project team to focus on increasing the delivery rate for the coming years.</w:t>
            </w:r>
          </w:p>
          <w:p>
            <w:pPr/>
            <w:r>
              <w:rPr/>
              <w:t xml:space="preserve">One way of addressing these challenges and risks, in addition to the risks mentioned in other sections of the PIR and their mitigation measures, is for the project to continue using short-term adaptive management and convene at a high level – the Project Board, more frequently, a minimum of two meetings a year to assess the situation and provide strategic directions to the project team.</w:t>
            </w:r>
          </w:p>
          <w:p>
            <w:pPr/>
            <w:r>
              <w:rPr/>
              <w:t xml:space="preserve"/>
            </w:r>
          </w:p>
          <w:p>
            <w:pPr/>
            <w:r>
              <w:rPr/>
              <w:t xml:space="preserve">Risks and safeguards:</w:t>
            </w:r>
          </w:p>
          <w:p>
            <w:pPr/>
            <w:r>
              <w:rPr/>
              <w:t xml:space="preserve"/>
            </w:r>
          </w:p>
          <w:p>
            <w:pPr/>
            <w:r>
              <w:rPr/>
              <w:t xml:space="preserve">The project was classified as Substantial in the SESP, which required additional assessments and management plans to be put in place. Although this was highlighted in the first year PIR, the status of the required assessments; the Social and Environmental Safeguard and the Environmental and Social Impact Assessments and related activities is still vague. The UNDP CO and the project team need to provide details on the status and the plans.</w:t>
            </w:r>
          </w:p>
          <w:p>
            <w:pPr/>
            <w:r>
              <w:rPr/>
              <w:t xml:space="preserve"/>
            </w:r>
          </w:p>
          <w:p>
            <w:pPr/>
            <w:r>
              <w:rPr/>
              <w:t xml:space="preserve">With the project achieving some of the intended results in a challenging environment, the RTA is echoing the CO rating for both the DO as Satisfactory and the IP as Moderately Satisfactory.</w:t>
            </w:r>
          </w:p>
          <w:p>
            <w:pPr/>
            <w:r>
              <w:rPr/>
              <w:t xml:space="preserve"/>
            </w:r>
          </w:p>
        </w:tc>
      </w:tr>
      <w:tr>
        <w:trPr/>
        <w:tc>
          <w:tcPr>
            <w:tcW w:w="5000" w:type="dxa"/>
            <w:gridSpan w:val="1"/>
          </w:tcPr>
          <w:p>
            <w:pPr/>
            <w:r>
              <w:rPr>
                <w:b w:val="1"/>
                <w:bCs w:val="1"/>
              </w:rPr>
              <w:t xml:space="preserve">UNDP Country Office Programme Officer</w:t>
            </w:r>
          </w:p>
        </w:tc>
        <w:tc>
          <w:tcPr>
            <w:tcW w:w="10000" w:type="dxa"/>
            <w:gridSpan w:val="1"/>
          </w:tcPr>
          <w:p>
            <w:pPr/>
            <w:r>
              <w:rPr/>
              <w:t xml:space="preserve">Although the delivery rate of the project remains relatively low, the project has progressed tremendously in the last year, particularly in terms of the procurement and commitment for the pilot projects which will result in the bulk delivery by next PIR.</w:t>
            </w:r>
          </w:p>
          <w:p>
            <w:pPr/>
            <w:r>
              <w:rPr/>
              <w:t xml:space="preserve"/>
            </w:r>
          </w:p>
          <w:p>
            <w:pPr/>
            <w:r>
              <w:rPr/>
              <w:t xml:space="preserve">For the demonstration project, the project worked on developing and designing detailed drawing and sizing needs for the solar charging system that is the first of its kind in Lebanon and may even be unique globally given the electricity sector structure in Lebanon.  This task was quite challenging however it was successfully completed with the procurement resulting in the award of a renowned local supplier.  The installation is currently underway but given that the works have just started, the expenditure is not yet reflected in Quantum.  As for the buses, the project team, with the support of international consultants, developed detailed and extensive bills of quantities for their procurement.  The process was again successfully completed and a supplier was identified that met the international standards while ensuring the requirements at local level for maintenance and operation.  The delivery of the buses will take place during the next reporting cycle and so will the related expenditure.</w:t>
            </w:r>
          </w:p>
          <w:p>
            <w:pPr/>
            <w:r>
              <w:rPr/>
              <w:t xml:space="preserve"/>
            </w:r>
          </w:p>
          <w:p>
            <w:pPr/>
            <w:r>
              <w:rPr/>
              <w:t xml:space="preserve">For the other soft components of the project, technical guidelines to promote non-motorised transport along with social and gender aspects were completed.  This was coupled with legal and regulatory analysis to ensure that the recommendations for promoting non-monitorised as well as green sustainable transport approaches are applicable and how best to do so.</w:t>
            </w:r>
          </w:p>
          <w:p>
            <w:pPr/>
            <w:r>
              <w:rPr/>
              <w:t xml:space="preserve"/>
            </w:r>
          </w:p>
          <w:p>
            <w:pPr/>
            <w:r>
              <w:rPr/>
              <w:t xml:space="preserve">Capacity building events that included 2 trainings that were attended by 36 stakeholders were also completed during this past year for the guidelines and other aspects of the project in line with the plan and related communication material designed and disseminated.  A broader communication plan was also developed that will be implemented in full as of the end of this year and next year to accompany the launching of the pilot projects.</w:t>
            </w:r>
          </w:p>
          <w:p>
            <w:pPr/>
            <w:r>
              <w:rPr/>
              <w:t xml:space="preserve"/>
            </w:r>
          </w:p>
          <w:p>
            <w:pPr/>
            <w:r>
              <w:rPr/>
              <w:t xml:space="preserve">It is worthwhile to note that the project team has become a national reference on alternative and sustainable transport. They have provided advisory support to other municipalities that wish to replicate and promote sustainable transportation approaches and have also assisted in improving the efficiency and tools of the UNDP Country Office.</w:t>
            </w:r>
          </w:p>
          <w:p>
            <w:pPr/>
            <w:r>
              <w:rPr/>
              <w:t xml:space="preserve"/>
            </w:r>
          </w:p>
        </w:tc>
      </w:tr>
      <w:tr>
        <w:trPr/>
        <w:tc>
          <w:tcPr>
            <w:tcW w:w="5000" w:type="dxa"/>
            <w:gridSpan w:val="1"/>
          </w:tcPr>
          <w:p>
            <w:pPr/>
            <w:r>
              <w:rPr>
                <w:b w:val="1"/>
                <w:bCs w:val="1"/>
              </w:rPr>
              <w:t xml:space="preserve">Project Manager/Coordinator</w:t>
            </w:r>
          </w:p>
        </w:tc>
        <w:tc>
          <w:tcPr>
            <w:tcW w:w="10000" w:type="dxa"/>
            <w:gridSpan w:val="1"/>
          </w:tcPr>
          <w:p>
            <w:pPr/>
            <w:r>
              <w:rPr/>
              <w:t xml:space="preserve">Project Achievements:</w:t>
            </w:r>
          </w:p>
          <w:p>
            <w:pPr/>
            <w:r>
              <w:rPr/>
              <w:t xml:space="preserve">-	Completed the recruitment of the project team after the Transport Engineer joined the team in August 2023.</w:t>
            </w:r>
          </w:p>
          <w:p>
            <w:pPr/>
            <w:r>
              <w:rPr/>
              <w:t xml:space="preserve"/>
            </w:r>
          </w:p>
          <w:p>
            <w:pPr/>
            <w:r>
              <w:rPr/>
              <w:t xml:space="preserve">Outcome 1: Institutional and Policy Support</w:t>
            </w:r>
          </w:p>
          <w:p>
            <w:pPr/>
            <w:r>
              <w:rPr/>
              <w:t xml:space="preserve">-	Completed the Guidelines to Municipalities for promoting Non-Motorized Transport and door-to-door mobility (Activity 1.1.1)</w:t>
            </w:r>
          </w:p>
          <w:p>
            <w:pPr/>
            <w:r>
              <w:rPr/>
              <w:t xml:space="preserve">-	Developed Social and Gender Dimensions for the Non-motorized Transport Guidelines.</w:t>
            </w:r>
          </w:p>
          <w:p>
            <w:pPr/>
            <w:r>
              <w:rPr/>
              <w:t xml:space="preserve">-	Completed the guidelines addressing the legal, financial, and regulatory aspects related to the implementation of self-certified Green Public Transport Service (GPTS) agreements, including the review of international best-practices. (Activity 1.1.2)</w:t>
            </w:r>
          </w:p>
          <w:p>
            <w:pPr/>
            <w:r>
              <w:rPr/>
              <w:t xml:space="preserve">-	Completed the guidelines addressing the legal, financial, and regulatory aspects related to the implementation of self-certified Green Fleet Management (GFM) agreements, including the review of international best-practices. (Activity 1.1.3)</w:t>
            </w:r>
          </w:p>
          <w:p>
            <w:pPr/>
            <w:r>
              <w:rPr/>
              <w:t xml:space="preserve">-	These GPTS and GFM c+ertification guidelines are the first to establish green criteria specifically for green transport service certification. They introduce a unique approach to promoting energy efficiency and sustainability in transportation, with the potential for global replication in a sector currently devoid of international standards.</w:t>
            </w:r>
          </w:p>
          <w:p>
            <w:pPr/>
            <w:r>
              <w:rPr/>
              <w:t xml:space="preserve">-	Drafted the ToR for the development of the National E-mobility Strategy. (Output 1.2)</w:t>
            </w:r>
          </w:p>
          <w:p>
            <w:pPr/>
            <w:r>
              <w:rPr/>
              <w:t xml:space="preserve"/>
            </w:r>
          </w:p>
          <w:p>
            <w:pPr/>
            <w:r>
              <w:rPr/>
              <w:t xml:space="preserve">Outcome 2: Demonstration Projects</w:t>
            </w:r>
          </w:p>
          <w:p>
            <w:pPr/>
            <w:r>
              <w:rPr/>
              <w:t xml:space="preserve">-	Completed a situational analysis on public transport in Lebanon including a wide survey for capturing preferences and insight from public transport users and non-public transport users.</w:t>
            </w:r>
          </w:p>
          <w:p>
            <w:pPr/>
            <w:r>
              <w:rPr/>
              <w:t xml:space="preserve">-	Developed a report on the legal framework governing the public transport sector in Lebanon to prepare for the operation of the E-buses within the sector</w:t>
            </w:r>
          </w:p>
          <w:p>
            <w:pPr/>
            <w:r>
              <w:rPr/>
              <w:t xml:space="preserve">-	Completed the Social and Environmental Site Exclusion Criteria for the pilot bus stop sites (Activity 2.3.1)</w:t>
            </w:r>
          </w:p>
          <w:p>
            <w:pPr/>
            <w:r>
              <w:rPr/>
              <w:t xml:space="preserve">-	Completed the identification of 6 pilot bus stops and reporting on their existing conditions in close coordination with corresponding municipalities. (Activity 2.3.1)</w:t>
            </w:r>
          </w:p>
          <w:p>
            <w:pPr/>
            <w:r>
              <w:rPr/>
              <w:t xml:space="preserve">-	Completed the design of non-motorized transport accessibility at the 6 identified pilot sites. (Activity 2.3.2)</w:t>
            </w:r>
          </w:p>
          <w:p>
            <w:pPr/>
            <w:r>
              <w:rPr/>
              <w:t xml:space="preserve">-	Started the implementation of the Solar PV infrastructure at the Jbeil Bus Station. The solar PV infrastructure will be used for charging the E-buses and is comprised of a 207 kWp Solar System in addition to a High-voltage Battery Energy Storage System of 360 kWh. The system is also integrated with the Municipal Building and operates on a priority system, whereby the excess energy not utilized for charging the e-buses will be used to power the Municipal building, further reducing GHG emissions. The system is expected to be commissioned and operational in Q4 2024. This is the second biggest activity budget wise. (Activity 2.4.2)</w:t>
            </w:r>
          </w:p>
          <w:p>
            <w:pPr/>
            <w:r>
              <w:rPr/>
              <w:t xml:space="preserve">-	The tender for the procurement of 4 E-buses and their chargers and 3-year maintenance has been awarded in Q2 of 2024, and the 4 e-buses and their chargers will be commissioned by Q2 2025. This is the biggest activity in terms of budget size. (Activity 2.4.1)</w:t>
            </w:r>
          </w:p>
          <w:p>
            <w:pPr/>
            <w:r>
              <w:rPr/>
              <w:t xml:space="preserve">-	Drafted the tender for the operation of the e-buses and maintenance of the Jbeil bus station and bus stops.</w:t>
            </w:r>
          </w:p>
          <w:p>
            <w:pPr/>
            <w:r>
              <w:rPr/>
              <w:t xml:space="preserve">-	Work is ongoing for completing the feasibility study related to GPTS certification, selecting the participating bus companies and establishing the GPTS certification procedure (Activities 2.1.1, 2.1.2, and 2.1.3).</w:t>
            </w:r>
          </w:p>
          <w:p>
            <w:pPr/>
            <w:r>
              <w:rPr/>
              <w:t xml:space="preserve">-	Work is ongoing for planning and implementing the GFM concept with the ISF and making the GFM concept operational (Activities 2.2.1, and 2.2.2)</w:t>
            </w:r>
          </w:p>
          <w:p>
            <w:pPr/>
            <w:r>
              <w:rPr/>
              <w:t xml:space="preserve"/>
            </w:r>
          </w:p>
          <w:p>
            <w:pPr/>
            <w:r>
              <w:rPr/>
              <w:t xml:space="preserve">Outcome 3: Upscaling &amp; Replication</w:t>
            </w:r>
          </w:p>
          <w:p>
            <w:pPr/>
            <w:r>
              <w:rPr/>
              <w:t xml:space="preserve">-	Completed a technical training workshop on non-motorized transportation. This session was attended by public and private stakeholders, including representatives from several municipalities and NGOs. The Minister of Environment was also in attendance. (Activity 3.4.1 and 3.4.2)</w:t>
            </w:r>
          </w:p>
          <w:p>
            <w:pPr/>
            <w:r>
              <w:rPr/>
              <w:t xml:space="preserve">-	Planned train-the-trainer workshops on charging infrastructure and EVs for Q4 of 2024. (Activity 3.4.4)</w:t>
            </w:r>
          </w:p>
          <w:p>
            <w:pPr/>
            <w:r>
              <w:rPr/>
              <w:t xml:space="preserve">-	Completed the Project Communication Plan (Activity 3.3.1)</w:t>
            </w:r>
          </w:p>
          <w:p>
            <w:pPr/>
            <w:r>
              <w:rPr/>
              <w:t xml:space="preserve">-	Participating in the Global E-mobility support programme working groups and activities and community of practice meetings. Reporting on project progress and challenges and requesting support where applicable. (Activity 3.2.1)</w:t>
            </w:r>
          </w:p>
          <w:p>
            <w:pPr/>
            <w:r>
              <w:rPr/>
              <w:t xml:space="preserve">-	Planned another capacity building event for promoting non-motorized transport for Q4 2024, including a socio-economic and environmental assessment for the implementation of a pedestrian street through tactical urbanism interventions. (Activity 3.3.2)</w:t>
            </w:r>
          </w:p>
          <w:p>
            <w:pPr/>
            <w:r>
              <w:rPr/>
              <w:t xml:space="preserve">-	Produced a podcast episode on E-mobility in Lebanon (Activity 3.4.3)</w:t>
            </w:r>
          </w:p>
          <w:p>
            <w:pPr/>
            <w:r>
              <w:rPr/>
              <w:t xml:space="preserve">-	Regular meetings with stakeholders involved in e-mobility.</w:t>
            </w:r>
          </w:p>
          <w:p>
            <w:pPr/>
            <w:r>
              <w:rPr/>
              <w:t xml:space="preserve">-	Sharing training materials prepared by the E-mobility support programme with relevant stakeholders.</w:t>
            </w:r>
          </w:p>
          <w:p>
            <w:pPr/>
            <w:r>
              <w:rPr/>
              <w:t xml:space="preserve">-	Supporting Zahle-Al-Muallaqa and Taanayel Municipalities with the implementation of “Promoting Environment-Friendly Public Transport” project by providing guidelines on how to design bus stops for 12 m buses. Also provided them with Pre-implementation surveys and post-implementation surveys to capture the preferences of potential and actual public transport users.</w:t>
            </w:r>
          </w:p>
          <w:p>
            <w:pPr/>
            <w:r>
              <w:rPr/>
              <w:t xml:space="preserve">-	Participated in an event on transport in Zouk Mkayel Municipality and raised awareness on the importance of sustainable urban mobility planning and promoting non-motorized transport to reduce pollution and promote wellbeing.</w:t>
            </w:r>
          </w:p>
          <w:p>
            <w:pPr/>
            <w:r>
              <w:rPr/>
              <w:t xml:space="preserve"/>
            </w:r>
          </w:p>
          <w:p>
            <w:pPr/>
            <w:r>
              <w:rPr/>
              <w:t xml:space="preserve">Outcome 4: Monitoring &amp; Evaluation</w:t>
            </w:r>
          </w:p>
          <w:p>
            <w:pPr/>
            <w:r>
              <w:rPr/>
              <w:t xml:space="preserve">-	Completed the Inception Workshop and Report in October 2022 and the monitoring and evaluation (M&amp;E) plan was designed and implemented.</w:t>
            </w:r>
          </w:p>
          <w:p>
            <w:pPr/>
            <w:r>
              <w:rPr/>
              <w:t xml:space="preserve">-	Hired the international evaluation expert, who will complete the midterm evaluation due November 2024.</w:t>
            </w:r>
          </w:p>
          <w:p>
            <w:pPr/>
            <w:r>
              <w:rPr/>
              <w:t xml:space="preserve"/>
            </w:r>
          </w:p>
          <w:p>
            <w:pPr/>
            <w:r>
              <w:rPr/>
              <w:t xml:space="preserve">Remaining activities:</w:t>
            </w:r>
          </w:p>
          <w:p>
            <w:pPr/>
            <w:r>
              <w:rPr/>
              <w:t xml:space="preserve"/>
            </w:r>
          </w:p>
          <w:p>
            <w:pPr/>
            <w:r>
              <w:rPr/>
              <w:t xml:space="preserve">For Outcome 1:</w:t>
            </w:r>
          </w:p>
          <w:p>
            <w:pPr/>
            <w:r>
              <w:rPr/>
              <w:t xml:space="preserve">-	The remaining activities are those related to the National E-mobility strategy. The ToR has already been drafted and the procurement will be launched in Q3 2024.</w:t>
            </w:r>
          </w:p>
          <w:p>
            <w:pPr/>
            <w:r>
              <w:rPr/>
              <w:t xml:space="preserve">-	The end-of-life vehicle management strategy is also remaining and will be launched in Q3 of 2024. (Output 1.2 and 1.3)</w:t>
            </w:r>
          </w:p>
          <w:p>
            <w:pPr/>
            <w:r>
              <w:rPr/>
              <w:t xml:space="preserve"/>
            </w:r>
          </w:p>
          <w:p>
            <w:pPr/>
            <w:r>
              <w:rPr/>
              <w:t xml:space="preserve">For Outcome 2:</w:t>
            </w:r>
          </w:p>
          <w:p>
            <w:pPr/>
            <w:r>
              <w:rPr/>
              <w:t xml:space="preserve">-	Procurement of Vehicles for the Internal Security Forces. (Output 2.5)</w:t>
            </w:r>
          </w:p>
          <w:p>
            <w:pPr/>
            <w:r>
              <w:rPr/>
              <w:t xml:space="preserve">-	Implementing the improvements at pilot sites is still remaining while the preparatory phase for that has been completed, and reporting on results and lessons learnt (Activity 2.3.2 and 2.3.3)</w:t>
            </w:r>
          </w:p>
          <w:p>
            <w:pPr/>
            <w:r>
              <w:rPr/>
              <w:t xml:space="preserve">-	Operation, monitoring and reporting of e-buses, including, lessons learnt and replication options. (Activity 2.4.3)</w:t>
            </w:r>
          </w:p>
          <w:p>
            <w:pPr/>
            <w:r>
              <w:rPr/>
              <w:t xml:space="preserve"/>
            </w:r>
          </w:p>
          <w:p>
            <w:pPr/>
            <w:r>
              <w:rPr/>
              <w:t xml:space="preserve">For Outcome 3:</w:t>
            </w:r>
          </w:p>
          <w:p>
            <w:pPr/>
            <w:r>
              <w:rPr/>
              <w:t xml:space="preserve">-	Continuing with convening periodic meetings with all stakeholders and providing technical support to establish the mandate, structure, governance and working plan</w:t>
            </w:r>
          </w:p>
          <w:p>
            <w:pPr/>
            <w:r>
              <w:rPr/>
              <w:t xml:space="preserve">-	Continuous coordination and involvement with the Global E-mobility Support programme and community of practice meetings.</w:t>
            </w:r>
          </w:p>
          <w:p>
            <w:pPr/>
            <w:r>
              <w:rPr/>
              <w:t xml:space="preserve">-	Completing planned capacity building activities in GPTS, GFM, NMT and EV technology and charging infrastructure.</w:t>
            </w:r>
          </w:p>
          <w:p>
            <w:pPr/>
            <w:r>
              <w:rPr/>
              <w:t xml:space="preserve"/>
            </w:r>
          </w:p>
          <w:p>
            <w:pPr/>
            <w:r>
              <w:rPr/>
              <w:t xml:space="preserve">For Outcome 4:</w:t>
            </w:r>
          </w:p>
          <w:p>
            <w:pPr/>
            <w:r>
              <w:rPr/>
              <w:t xml:space="preserve">-	Complete the Midterm Evaluation</w:t>
            </w:r>
          </w:p>
          <w:p>
            <w:pPr/>
            <w:r>
              <w:rPr/>
              <w:t xml:space="preserve"/>
            </w:r>
          </w:p>
          <w:p>
            <w:pPr/>
            <w:r>
              <w:rPr/>
              <w:t xml:space="preserve">Challenges</w:t>
            </w:r>
          </w:p>
          <w:p>
            <w:pPr/>
            <w:r>
              <w:rPr/>
              <w:t xml:space="preserve">In the second year of our project, we continued to encounter significant challenges that impacted the transition to electric transportation. The persistent absence of grid electricity remains a substantial barrier, as it directly affects the feasibility of implementing e-mobility solutions. This challenge was further exacerbated by an ongoing economic crisis, which has not only drained resources but also negatively influenced stakeholder engagement. The economic downturn led to diminished involvement from government staff at crucial meetings, highlighting broader issues of reduced governmental support.</w:t>
            </w:r>
          </w:p>
          <w:p>
            <w:pPr/>
            <w:r>
              <w:rPr/>
              <w:t xml:space="preserve">Additionally, the situation was complicated by the ongoing conflict at the southern border with Israel. While the conflict did not directly affect the project, it indirectly shifted national priorities and focus, making it challenging to secure serious consideration for sustainable transport initiatives amid other pressing security concerns.</w:t>
            </w:r>
          </w:p>
          <w:p>
            <w:pPr/>
            <w:r>
              <w:rPr/>
              <w:t xml:space="preserve">These challenges have caused delays in the national e-mobility strategy and the demonstration of electric vehicles within government fleets. However, to adapt the national e-mobility strategy to these conditions the Project Management Unit developed a TOR for drafting the e-mobility strategy and integrated the concept of system dynamics modeling, which offers the flexibility to adjust variables such as grid electricity shortages. This acts as a mitigation measure to ensure that the national e-mobility strategy can be easily remodeled once the energy sector improves.</w:t>
            </w:r>
          </w:p>
          <w:p>
            <w:pPr/>
            <w:r>
              <w:rPr/>
              <w:t xml:space="preserve">It's important to note that the electric vehicle (EV) market in Lebanon is experiencing natural growth, driven by several factors. First, global trends in the EV market, where the international momentum is slowly being mirrored locally, where EVs are increasingly seen as viable alternatives to traditional vehicles. Additionally, the Government of Lebanon has implemented significant fiscal incentives to accelerate the shift towards electric vehicles (EVs). Initially, a policy granting a 100% exemption from customs duties on fully electric vehicles (Full Electric) has been in effect since 2022. Effective February 15, 2024, this policy was expanded and renewed for a further five years to include electric bicycles (E-bicycles) and electric scooters (E-scooters). This expansion of the import tax exemption decree by the Ministry of Finance is expected to significantly lower cost barriers and boost EV adoption rates across the country.</w:t>
            </w:r>
          </w:p>
          <w:p>
            <w:pPr/>
            <w:r>
              <w:rPr/>
              <w:t xml:space="preserve">Moreover, a substantial portion of the population, including many major companies, has adopted solar photovoltaic (PV) systems as a cost-effective alternative to private diesel generators, given the lack of grid electricity. Amid the ongoing economic and energy crisis, contractors within the solar energy market have not only expanded their capacities but are also increasingly integrating EV charging solutions into their solar PV systems. This development, combined with technological advancements, has spurred a gradual increase in the EV sector. The growth in this sector is motivated by both environmental considerations and the economic benefits of transitioning to electric vehicles, especially when the energy for charging comes from solar PV sources.</w:t>
            </w:r>
          </w:p>
          <w:p>
            <w:pPr/>
            <w:r>
              <w:rPr/>
              <w:t xml:space="preserve"/>
            </w:r>
          </w:p>
        </w:tc>
      </w:tr>
      <w:tr>
        <w:trPr/>
        <w:tc>
          <w:tcPr>
            <w:tcW w:w="5000" w:type="dxa"/>
            <w:gridSpan w:val="1"/>
          </w:tcPr>
          <w:p>
            <w:pPr/>
            <w:r>
              <w:rPr>
                <w:b w:val="1"/>
                <w:bCs w:val="1"/>
              </w:rPr>
              <w:t xml:space="preserve">GEF Operational Focal point</w:t>
            </w:r>
          </w:p>
        </w:tc>
        <w:tc>
          <w:tcPr>
            <w:tcW w:w="10000" w:type="dxa"/>
            <w:gridSpan w:val="1"/>
          </w:tcPr>
          <w:p>
            <w:pPr/>
            <w:r>
              <w:rPr>
                <w:i w:val="1"/>
                <w:iCs w:val="1"/>
              </w:rPr>
              <w:t xml:space="preserve">(not set or not applicable)</w:t>
            </w:r>
          </w:p>
        </w:tc>
      </w:tr>
      <w:tr>
        <w:trPr/>
        <w:tc>
          <w:tcPr>
            <w:tcW w:w="5000" w:type="dxa"/>
            <w:gridSpan w:val="1"/>
          </w:tcPr>
          <w:p>
            <w:pPr/>
            <w:r>
              <w:rPr>
                <w:b w:val="1"/>
                <w:bCs w:val="1"/>
              </w:rPr>
              <w:t xml:space="preserve">Project Implementing Partner</w:t>
            </w:r>
          </w:p>
        </w:tc>
        <w:tc>
          <w:tcPr>
            <w:tcW w:w="10000" w:type="dxa"/>
            <w:gridSpan w:val="1"/>
          </w:tcPr>
          <w:p>
            <w:pPr/>
            <w:r>
              <w:rPr>
                <w:i w:val="1"/>
                <w:iCs w:val="1"/>
              </w:rPr>
              <w:t xml:space="preserve">(not set or not applicable)</w:t>
            </w:r>
          </w:p>
        </w:tc>
      </w:tr>
      <w:tr>
        <w:trPr/>
        <w:tc>
          <w:tcPr>
            <w:tcW w:w="5000" w:type="dxa"/>
            <w:gridSpan w:val="1"/>
          </w:tcPr>
          <w:p>
            <w:pPr/>
            <w:r>
              <w:rPr>
                <w:b w:val="1"/>
                <w:bCs w:val="1"/>
              </w:rPr>
              <w:t xml:space="preserve">Other Partners</w:t>
            </w:r>
          </w:p>
        </w:tc>
        <w:tc>
          <w:tcPr>
            <w:tcW w:w="10000" w:type="dxa"/>
            <w:gridSpan w:val="1"/>
          </w:tcPr>
          <w:p>
            <w:pPr/>
            <w:r>
              <w:rPr>
                <w:i w:val="1"/>
                <w:iCs w:val="1"/>
              </w:rPr>
              <w:t xml:space="preserve">(not set or not applicable)</w:t>
            </w:r>
          </w:p>
        </w:tc>
      </w:tr>
    </w:tbl>
    <w:p>
      <w:pPr>
        <w:sectPr>
          <w:pgSz w:orient="portrait" w:w="11905.511811023622" w:h="16837.79527559055"/>
          <w:pgMar w:top="500" w:right="500" w:bottom="500" w:left="500" w:header="720" w:footer="720" w:gutter="0"/>
          <w:cols w:num="1" w:space="720"/>
        </w:sectPr>
      </w:pPr>
    </w:p>
    <w:p>
      <w:pPr>
        <w:pStyle w:val="Heading1"/>
      </w:pPr>
      <w:bookmarkStart w:id="10" w:name="_Toc10"/>
      <w:r>
        <w:t>Minor Amendments</w:t>
      </w:r>
      <w:bookmarkEnd w:id="10"/>
    </w:p>
    <w:p>
      <w:pPr>
        <w:spacing w:before="0" w:after="0"/>
      </w:pPr>
      <w:r>
        <w:rPr/>
        <w:t xml:space="preserve"/>
      </w:r>
    </w:p>
    <w:p>
      <w:pPr/>
      <w:r>
        <w:rPr/>
        <w:t xml:space="preserve">Minor amendments are changes to the project design or implementation that do not have significant impact on the project objectives or scope, or an increase of the GEF project financing up to 5% as described in Annex 9 of the </w:t>
      </w:r>
      <w:hyperlink r:id="rId9" w:history="1">
        <w:r>
          <w:rPr/>
          <w:t xml:space="preserve">GEF Project and Program Cycle Policy Guidelines</w:t>
        </w:r>
      </w:hyperlink>
      <w:r>
        <w:rPr/>
        <w:t xml:space="preserve">.</w:t>
      </w:r>
    </w:p>
    <w:p>
      <w:pPr/>
      <w:r>
        <w:rPr>
          <w:b w:val="1"/>
          <w:bCs w:val="1"/>
        </w:rPr>
        <w:t xml:space="preserve">CO Programme Officer:</w:t>
      </w:r>
      <w:r>
        <w:rPr/>
        <w:t xml:space="preserve"> Please check the box for each category for which a minor amendment occurred during this reporting period (1 July 2023- 30 June 2024). </w:t>
      </w:r>
    </w:p>
    <w:p>
      <w:pPr/>
      <w:r>
        <w:rPr/>
        <w:t xml:space="preserve">For each category that is checked off, a text box will appear  Please provide a brief description of the change that occurred in the associated text box. You may attach supporting documentation, as appropriate, via the upload feature at the bottom of this section.</w:t>
      </w:r>
    </w:p>
    <w:p>
      <w:pPr/>
      <w:r>
        <w:rPr/>
        <w:t xml:space="preserve">The purpose of this section is to capture adaptive management and measure project proactiveness, an indicator outlined in paragraph 70 of the GEF-8 Policy Directions available </w:t>
      </w:r>
      <w:hyperlink r:id="rId10" w:history="1">
        <w:r>
          <w:rPr/>
          <w:t xml:space="preserve">here.</w:t>
        </w:r>
      </w:hyperlink>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A) Results Framework</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the 'Results framework'</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B) Components and cost</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'Components and cost'</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C) Institutional and implementation arrangements</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'Institutional and implementation arrangements'</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D) Financial management</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'Financial Management'</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E) Implementation schedule</w:t>
            </w:r>
          </w:p>
        </w:tc>
      </w:tr>
      <w:tr>
        <w:trPr/>
        <w:tc>
          <w:tcPr>
            <w:tcW w:w="10000" w:type="dxa"/>
            <w:gridSpan w:val="1"/>
          </w:tcPr>
          <w:p>
            <w:pPr/>
            <w:r>
              <w:rPr/>
              <w:t xml:space="preserve">Yes</w:t>
            </w:r>
          </w:p>
        </w:tc>
      </w:tr>
      <w:tr>
        <w:trPr/>
        <w:tc>
          <w:tcPr>
            <w:tcW w:w="10000" w:type="dxa"/>
            <w:shd w:val="clear" w:fill="#D9D9D9"/>
          </w:tcPr>
          <w:p>
            <w:pPr/>
            <w:r>
              <w:rPr>
                <w:b w:val="1"/>
                <w:bCs w:val="1"/>
              </w:rPr>
              <w:t xml:space="preserve">Provide a description of the change(s) to 'Implementation schedule'</w:t>
            </w:r>
          </w:p>
        </w:tc>
      </w:tr>
      <w:tr>
        <w:trPr/>
        <w:tc>
          <w:tcPr>
            <w:tcW w:w="10000" w:type="dxa"/>
            <w:gridSpan w:val="1"/>
          </w:tcPr>
          <w:p>
            <w:pPr/>
            <w:r>
              <w:rPr/>
              <w:t xml:space="preserve">The national e-mobility strategy has been postponed again due to the national electricity supply being largely absent across most of the country, except for minor contributions from hydropower sources. Given the grim prospects for immediate improvements in the electricity sector, the project team has opted to explore adaptive techniques for e-mobility strategies to prevent the development of a strategy that might become obsolete and misaligned with the country’s needs. Accordingly, the Terms of Reference (TOR) for drafting the e-mobility strategy have been developed. The strategy to be developed will incorporate the concept of system dynamics modeling, providing the flexibility to modify variables like grid electricity shortages based on multiple scenario assessments. This modeling approach will enable the exploration of different potential outcomes and policy adaptations. Such measures are designed to ensure that the national e-mobility strategy can be effectively adapted to various scenarios within the country. Initially scheduled for Q3 2023, this task has now been rescheduled to Q2 2024, with its completion still expected within the original timeline.</w:t>
            </w:r>
          </w:p>
          <w:p>
            <w:pPr/>
            <w:r>
              <w:rPr/>
              <w:t xml:space="preserve">The rollout of the Green Public Transport Service Certification and Green Fleet Management Certifications has also been adjusted, moving from Q3 2024 to Q1 2025. While feasibility studies are on track to be completed by Q3 2024, the implementation phase requires governmental endorsement to ensure the sustainability of these certifications beyond the project’s duration. This will involve the creation and approval of legal frameworks within relevant ministries.</w:t>
            </w:r>
          </w:p>
          <w:p>
            <w:pPr/>
            <w:r>
              <w:rPr/>
              <w:t xml:space="preserve">Furthermore, Activity 2.5, focusing on the viability assessment of electric vehicles (EVs) for the Internal Security Forces (ISF), has encountered obstacles due to inadequate grid electricity and the ISF's reliance on polluting diesel generators. Initially, the adoption of hybrid vehicles was considered during the Inception Report to replace EVs, intended for patrolling purposes. However, given the current economic climate, the ISF has prioritized other transport needs over patrolling, deeming it non-essential, and have since requested support elsewhere. As a result, this activity has been postponed from Q3 2023 to Q4 2024, pending further guidance from the Mid-Term Review (MTR) on its feasibility and alignment with ISF’s revised priorities.</w:t>
            </w:r>
          </w:p>
          <w:p>
            <w:pPr/>
            <w:r>
              <w:rPr/>
              <w:t xml:space="preserve"/>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F) Executing Entity</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'Executing Entity'</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G) Executing Entity Category</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'Executing Entity Category'</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H) Minor project objective change</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'minor project objective change'</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I) Safeguards</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'Safeguards'</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J) Risk Analysis</w:t>
            </w:r>
          </w:p>
        </w:tc>
      </w:tr>
      <w:tr>
        <w:trPr/>
        <w:tc>
          <w:tcPr>
            <w:tcW w:w="10000" w:type="dxa"/>
            <w:gridSpan w:val="1"/>
          </w:tcPr>
          <w:p>
            <w:pPr/>
            <w:r>
              <w:rPr/>
              <w:t xml:space="preserve">Yes</w:t>
            </w:r>
          </w:p>
        </w:tc>
      </w:tr>
      <w:tr>
        <w:trPr/>
        <w:tc>
          <w:tcPr>
            <w:tcW w:w="10000" w:type="dxa"/>
            <w:shd w:val="clear" w:fill="#D9D9D9"/>
          </w:tcPr>
          <w:p>
            <w:pPr/>
            <w:r>
              <w:rPr>
                <w:b w:val="1"/>
                <w:bCs w:val="1"/>
              </w:rPr>
              <w:t xml:space="preserve">Provide a description of the change(s) to 'Risk Analysis'</w:t>
            </w:r>
          </w:p>
        </w:tc>
      </w:tr>
      <w:tr>
        <w:trPr/>
        <w:tc>
          <w:tcPr>
            <w:tcW w:w="10000" w:type="dxa"/>
            <w:gridSpan w:val="1"/>
          </w:tcPr>
          <w:p>
            <w:pPr/>
            <w:r>
              <w:rPr/>
              <w:t xml:space="preserve">The 'Risk Analysis' has been updated to include a new entry concerning the safety and security risks associated with the photovoltaic (PV) charging systems at the Jbeil bus station and the e-buses. This newly added risk, categorized under crime, stems from the increased likelihood of vandalism due to a deteriorating economic climate that is leading to higher rates of crime and theft. Both the likelihood and the impact of this risk are evaluated with a score of 4, indicating a high level of risk. This addition reflects a more comprehensive understanding of the potential challenges faced by the PV charging infrastructure, emphasizing the need for targeted security measures and preventive strategies to safeguard these critical assets.</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K) Increase of GEF project financing up to 5%</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 to GEF project financing up to 5%</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L) Co-financing</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'Co-financing'</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M) Location of project activity</w:t>
            </w:r>
          </w:p>
        </w:tc>
      </w:tr>
      <w:tr>
        <w:trPr/>
        <w:tc>
          <w:tcPr>
            <w:tcW w:w="10000" w:type="dxa"/>
            <w:gridSpan w:val="1"/>
          </w:tcPr>
          <w:p>
            <w:pPr/>
            <w:r>
              <w:rPr/>
              <w:t xml:space="preserve">No</w:t>
            </w:r>
          </w:p>
        </w:tc>
      </w:tr>
      <w:tr>
        <w:trPr/>
        <w:tc>
          <w:tcPr>
            <w:tcW w:w="10000" w:type="dxa"/>
            <w:shd w:val="clear" w:fill="#D9D9D9"/>
          </w:tcPr>
          <w:p>
            <w:pPr/>
            <w:r>
              <w:rPr>
                <w:b w:val="1"/>
                <w:bCs w:val="1"/>
              </w:rPr>
              <w:t xml:space="preserve">Provide a description of the change(s) to project location activity</w:t>
            </w:r>
          </w:p>
        </w:tc>
      </w:tr>
      <w:tr>
        <w:trPr/>
        <w:tc>
          <w:tcPr>
            <w:tcW w:w="10000" w:type="dxa"/>
            <w:gridSpan w:val="1"/>
          </w:tcPr>
          <w:p>
            <w:pPr/>
            <w:r>
              <w:rPr>
                <w:i w:val="1"/>
                <w:iCs w:val="1"/>
              </w:rPr>
              <w:t xml:space="preserve">(not set or not applicable)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Other</w:t>
            </w:r>
          </w:p>
        </w:tc>
      </w:tr>
      <w:tr>
        <w:trPr/>
        <w:tc>
          <w:tcPr>
            <w:tcW w:w="10000" w:type="dxa"/>
            <w:gridSpan w:val="1"/>
          </w:tcPr>
          <w:p>
            <w:pPr/>
            <w:r>
              <w:rPr/>
              <w:t xml:space="preserve">Yes</w:t>
            </w:r>
          </w:p>
        </w:tc>
      </w:tr>
      <w:tr>
        <w:trPr/>
        <w:tc>
          <w:tcPr>
            <w:tcW w:w="10000" w:type="dxa"/>
            <w:shd w:val="clear" w:fill="#D9D9D9"/>
          </w:tcPr>
          <w:p>
            <w:pPr/>
            <w:r>
              <w:rPr>
                <w:b w:val="1"/>
                <w:bCs w:val="1"/>
              </w:rPr>
              <w:t xml:space="preserve">Please provide a description of other types of minor amendments that do not fall under any of the above categories. For example, minor changes to the project's Gender Action Plan and/or gender activities can be captured here.</w:t>
            </w:r>
          </w:p>
        </w:tc>
      </w:tr>
      <w:tr>
        <w:trPr/>
        <w:tc>
          <w:tcPr>
            <w:tcW w:w="10000" w:type="dxa"/>
            <w:gridSpan w:val="1"/>
          </w:tcPr>
          <w:p>
            <w:pPr/>
            <w:r>
              <w:rPr/>
              <w:t xml:space="preserve">In the context of minor amendments to the project's Gender Action Plan (GAP), the updates have refined and expanded the scope to address a broader range of social inclusion issues, emphasizing a more inclusive approach that takes into account the intersectionality of gender with other social identities. Notably, these updates include:</w:t>
            </w:r>
          </w:p>
          <w:p>
            <w:pPr/>
            <w:r>
              <w:rPr/>
              <w:t xml:space="preserve">1.	Enhanced Focus on Gender-Transformative Outcomes: The revised GAP now places greater emphasis on achieving gender-transformative outcomes. This approach aims to fundamentally alter the social dynamics and norms that underpin gender inequality, actively changing societal norms to achieve deeper systemic changes in gender relations.</w:t>
            </w:r>
          </w:p>
          <w:p>
            <w:pPr/>
            <w:r>
              <w:rPr/>
              <w:t xml:space="preserve">2.	Incorporation of Current Socio-Economic Context: The updates reflect a nuanced understanding of the current socio-economic conditions in Lebanon, particularly the impacts of the economic crisis and the COVID-19 pandemic. This contextual update aids in tailoring the GAP to address how these conditions affect public transportation usage and the specific challenges faced by diverse communities, including refugees and migrants.</w:t>
            </w:r>
          </w:p>
          <w:p>
            <w:pPr/>
            <w:r>
              <w:rPr/>
              <w:t xml:space="preserve">3.	Expanded Inclusion Scope: The revised GAP extends beyond traditional gender equality issues to embrace a broader inclusion scope. It now includes specific measures for vulnerable groups such as refugees, migrants, and persons with disabilities, reflecting a shift towards a more comprehensive approach to social inclusion.</w:t>
            </w:r>
          </w:p>
          <w:p>
            <w:pPr/>
            <w:r>
              <w:rPr/>
              <w:t xml:space="preserve">4.	Refinement of Methodology: The methodology for implementing the GAP has been refined to include new data collection processes, such as targeted surveys and Key Informant Interviews (KIIs) across diverse demographic groups. This enhancement is designed to gather more detailed insights into the transportation needs and behaviors of these groups, facilitating more targeted and effective interventions.</w:t>
            </w:r>
          </w:p>
          <w:p>
            <w:pPr/>
            <w:r>
              <w:rPr/>
              <w:t xml:space="preserve">5.	Alignment with International Standards: The updates also emphasize alignment with international standards, particularly those of the Global Environmental Facility (GEF) and the United Nations Development Programme (UNDP). This alignment ensures that the transportation initiatives are not only inclusive and gender-responsive but also adhere to global best practices in sustainable and low-emission transport systems.</w:t>
            </w:r>
          </w:p>
          <w:p>
            <w:pPr/>
            <w:r>
              <w:rPr/>
              <w:t xml:space="preserve">These minor amendments to the GAP underscore a commitment to a more holistic and intersectional approach in tackling the challenges related to public transportation in Lebanon, ensuring that the plan remains responsive to the evolving needs of all community members.</w:t>
            </w:r>
          </w:p>
          <w:p>
            <w:pPr/>
            <w:r>
              <w:rPr/>
              <w:t xml:space="preserve"/>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Upload any supporting documentation related to responses in this section.</w:t>
            </w:r>
          </w:p>
          <w:p>
            <w:pPr/>
            <w:r>
              <w:rPr>
                <w:i w:val="1"/>
                <w:iCs w:val="1"/>
              </w:rPr>
              <w:t xml:space="preserve">(Uploaded files will be kept internal and not submitted to the GEF.)</w:t>
            </w:r>
          </w:p>
        </w:tc>
      </w:tr>
      <w:tr>
        <w:trPr/>
        <w:tc>
          <w:tcPr>
            <w:tcW w:w="10000" w:type="dxa"/>
          </w:tcPr>
          <w:p>
            <w:pPr>
              <w:spacing w:before="0" w:after="0"/>
            </w:pPr>
            <w:r>
              <w:rPr/>
              <w:t xml:space="preserve">011123 GW Clean Gender Analysis _ Gender Action Plan_D2.docx</w:t>
            </w:r>
          </w:p>
          <w:p>
            <w:pPr>
              <w:spacing w:before="0" w:after="0"/>
            </w:pPr>
            <w:r>
              <w:rPr/>
              <w:t xml:space="preserve">Completed Risk Entries Information by BureauOffices.xlsx</w:t>
            </w:r>
          </w:p>
          <w:p>
            <w:pPr>
              <w:spacing w:before="0" w:after="0"/>
            </w:pPr>
            <w:r>
              <w:rPr/>
              <w:t xml:space="preserve">Project Risk Treatment Report by BureauOffices.xlsx</w:t>
            </w:r>
          </w:p>
          <w:p>
            <w:pPr>
              <w:spacing w:before="0" w:after="0"/>
            </w:pPr>
            <w:r>
              <w:rPr/>
              <w:t xml:space="preserve">Updated Multi Year Workplan PIR 2.xlsx</w:t>
            </w:r>
          </w:p>
          <w:p>
            <w:pPr/>
          </w:p>
        </w:tc>
      </w:tr>
    </w:tbl>
    <w:p>
      <w:pPr>
        <w:sectPr>
          <w:pgSz w:orient="portrait" w:w="11905.511811023622" w:h="16837.79527559055"/>
          <w:pgMar w:top="1440" w:right="1440" w:bottom="1440" w:left="1440" w:header="720" w:footer="720" w:gutter="0"/>
          <w:cols w:num="1" w:space="720"/>
        </w:sectPr>
      </w:pPr>
    </w:p>
    <w:p>
      <w:pPr>
        <w:pStyle w:val="Heading1"/>
      </w:pPr>
      <w:bookmarkStart w:id="11" w:name="_Toc11"/>
      <w:r>
        <w:t>Gender</w:t>
      </w:r>
      <w:bookmarkEnd w:id="11"/>
    </w:p>
    <w:p>
      <w:pPr>
        <w:pStyle w:val="Heading2"/>
      </w:pPr>
      <w:bookmarkStart w:id="12" w:name="_Toc12"/>
      <w:r>
        <w:t>Progress in Advancing Gender Equality and Women's Empowerment</w:t>
      </w:r>
      <w:bookmarkEnd w:id="12"/>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1) Please review the project's Gender Analysis and Action Plan.  If the document is not attached or an updated Gender Analysis and/or Gender Action Plan is available please upload the document below or send to the Regional Programme Associate to upload in PIMS+. Please note that all projects approved since 1 July 2014 are required to carry out a gender analysis and all projects approved since 1 July 2018 are required to have a gender analysis and action plan.</w:t>
            </w:r>
          </w:p>
        </w:tc>
      </w:tr>
      <w:tr>
        <w:trPr/>
        <w:tc>
          <w:tcPr>
            <w:tcW w:w="10000" w:type="dxa"/>
          </w:tcPr>
          <w:p>
            <w:pPr>
              <w:spacing w:before="0" w:after="0"/>
            </w:pPr>
            <w:r>
              <w:rPr/>
              <w:t xml:space="preserve">011123 GW Clean Gender Analysis _ Gender Action Plan_D2.docx</w:t>
            </w:r>
          </w:p>
          <w:p>
            <w:pP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gridSpan w:val="1"/>
          </w:tcPr>
          <w:p>
            <w:pPr/>
            <w:r>
              <w:rPr>
                <w:b w:val="1"/>
                <w:bCs w:val="1"/>
              </w:rPr>
              <w:t xml:space="preserve">Quantum Gender Marker Rating</w:t>
            </w:r>
          </w:p>
        </w:tc>
      </w:tr>
      <w:tr>
        <w:trPr/>
        <w:tc>
          <w:tcPr>
            <w:tcW w:w="10000" w:type="dxa"/>
          </w:tcPr>
          <w:p>
            <w:pPr/>
            <w:r>
              <w:rPr>
                <w:b w:val="1"/>
                <w:bCs w:val="1"/>
              </w:rPr>
              <w:t xml:space="preserve">GEN2: </w:t>
            </w:r>
            <w:r>
              <w:rPr/>
              <w:t xml:space="preserve">gender equality as significant objective</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2) Please indicate in which results areas the project is contributing to gender equality (you may select more than one results area, or select not applicable):</w:t>
            </w:r>
          </w:p>
        </w:tc>
      </w:tr>
      <w:tr>
        <w:trPr/>
        <w:tc>
          <w:tcPr>
            <w:tcW w:w="10000" w:type="dxa"/>
            <w:gridSpan w:val="1"/>
          </w:tcPr>
          <w:p>
            <w:pPr/>
            <w:r>
              <w:rPr/>
              <w:t xml:space="preserve">Contributing to closing gender gaps in access to and control over resources: Yes</w:t>
            </w:r>
          </w:p>
        </w:tc>
      </w:tr>
      <w:tr>
        <w:trPr/>
        <w:tc>
          <w:tcPr>
            <w:tcW w:w="10000" w:type="dxa"/>
            <w:gridSpan w:val="1"/>
          </w:tcPr>
          <w:p>
            <w:pPr/>
            <w:r>
              <w:rPr/>
              <w:t xml:space="preserve">Improving the participation and decision-making of women in natural resource governance: Yes</w:t>
            </w:r>
          </w:p>
        </w:tc>
      </w:tr>
      <w:tr>
        <w:trPr/>
        <w:tc>
          <w:tcPr>
            <w:tcW w:w="10000" w:type="dxa"/>
            <w:gridSpan w:val="1"/>
          </w:tcPr>
          <w:p>
            <w:pPr/>
            <w:r>
              <w:rPr/>
              <w:t xml:space="preserve">Targeting socio-economic benefits and services for women: Yes</w:t>
            </w:r>
          </w:p>
        </w:tc>
      </w:tr>
      <w:tr>
        <w:trPr/>
        <w:tc>
          <w:tcPr>
            <w:tcW w:w="10000" w:type="dxa"/>
            <w:gridSpan w:val="1"/>
          </w:tcPr>
          <w:p>
            <w:pPr/>
            <w:r>
              <w:rPr/>
              <w:t xml:space="preserve">Not applicable: No</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3) Please specify results achieved this reporting period that focus on increasing gender equality and the empowerment of women.</w:t>
            </w:r>
          </w:p>
          <w:p>
            <w:pPr/>
            <w:r>
              <w:rPr>
                <w:b w:val="1"/>
                <w:bCs w:val="1"/>
              </w:rPr>
              <w:t xml:space="preserve"/>
            </w:r>
          </w:p>
          <w:p>
            <w:pPr/>
            <w:r>
              <w:rPr>
                <w:b w:val="1"/>
                <w:bCs w:val="1"/>
              </w:rPr>
              <w:t xml:space="preserve">Please explain how the results reported addressed the different needs of men or women, changed norms, values, and power structures, and/or contributed to transforming or challenging gender inequalities and discrimination.</w:t>
            </w:r>
          </w:p>
        </w:tc>
      </w:tr>
      <w:tr>
        <w:trPr/>
        <w:tc>
          <w:tcPr>
            <w:tcW w:w="10000" w:type="dxa"/>
            <w:gridSpan w:val="1"/>
          </w:tcPr>
          <w:p>
            <w:pPr/>
            <w:r>
              <w:rPr/>
              <w:t xml:space="preserve">In collaboration with our Gender Expert, the Project achieved the following results:</w:t>
            </w:r>
          </w:p>
          <w:p>
            <w:pPr/>
            <w:r>
              <w:rPr/>
              <w:t xml:space="preserve"/>
            </w:r>
          </w:p>
          <w:p>
            <w:pPr/>
            <w:r>
              <w:rPr/>
              <w:t xml:space="preserve">- Gender analysis and action plan revised – a thorough gender analysis was carried out which aimed to achieve a gender-transformative intervention that involves assessing the current situation, identifying gaps, evaluating different populations, analyzing the context, and examining the impact of the economic crisis. It also aimed to identify the needs to ensure accessible, safe, and inclusive transportation for all. In addition, a gender action plan was designed and put into place to create a gender-responsive sustainable transportation system. The plan will help the project in addition to reducing GHG emissions and the mobility gaps among the targeted population, to contribute to increasing the participation of women and other underrepresented groups in economic and social development by making transportation accessible for all and improving their living conditions. It will also include the increase of gender balance amongst the Internal Security Forces (ISF) department involved in the pilot project. This will be possible through the involvement of women at all levels of the policy making process; capacity building for them to actively participate in decisions related to climate change mitigation at local and national levels; raising their awareness on e-mobility; collecting sex-disaggregated data (and data disaggregated by age, place of residence, nationality) to understand the needs, behaviors and perceptions to support an inclusive transport system; promoting women’s participation in networking, access to job and trainings related to e-mobility including as users, in bus companies, car fleet businesses and at the institutional level.</w:t>
            </w:r>
          </w:p>
          <w:p>
            <w:pPr/>
            <w:r>
              <w:rPr/>
              <w:t xml:space="preserve"/>
            </w:r>
          </w:p>
          <w:p>
            <w:pPr/>
            <w:r>
              <w:rPr/>
              <w:t xml:space="preserve">- Proposed criteria of bus stops revised taking into consideration gender issues. These criteria included the following:</w:t>
            </w:r>
          </w:p>
          <w:p>
            <w:pPr/>
            <w:r>
              <w:rPr/>
              <w:t xml:space="preserve">1)	Proximity to an urban community or major traffic-generating facilities, ensuring equitable access to public transportation for all members of the community, regardless of their gender, socioeconomic status, age, or physical abilities, with a specific focus on ensuring equitable access for underprivileged communities, including low-income neighborhoods and marginalized populations. Communities will be listed and segregated per nationality, age and gender</w:t>
            </w:r>
          </w:p>
          <w:p>
            <w:pPr/>
            <w:r>
              <w:rPr/>
              <w:t xml:space="preserve">2)	High demand for public transit with an emphasis on addressing the specific transportation needs of women, elderly individuals, and persons with disabilities (PWDs). A social and gender transformative approach is needed to study who used to take public transportation before and who is in need for public transportation today. The target group is wider. Middle class and students require public transportation, whereas many used to use their cars before.</w:t>
            </w:r>
          </w:p>
          <w:p>
            <w:pPr/>
            <w:r>
              <w:rPr/>
              <w:t xml:space="preserve">3)	The presence of a pedestrian bridge crossing the freeway, with additional consideration for ensuring the safety and security of pedestrians, particularly women and vulnerable individuals, who may be more susceptible to harassment or safety concerns in isolated areas. PWDs mainly blind, deaf and people on wheelchairs should be included in the access to pedestrian areas</w:t>
            </w:r>
          </w:p>
          <w:p>
            <w:pPr/>
            <w:r>
              <w:rPr/>
              <w:t xml:space="preserve">4)	Availability of public spaces to develop safe paths for non-motorized modes, with a focus on creating inclusive pathways that accommodate diverse user groups (nationalities and gender), including women, children, and individuals with mobility challenges.</w:t>
            </w:r>
          </w:p>
          <w:p>
            <w:pPr/>
            <w:r>
              <w:rPr/>
              <w:t xml:space="preserve">5)	Moderate topography enhancing easy access to the bus station by users of non-motorized modes, ensuring that the design accounts for accessibility challenges faced by elderly, disabled, and pregnant individuals who may have difficulty with steep inclines or staircases, implementing features like ramps, benches, and shelters that cater to diverse needs.</w:t>
            </w:r>
          </w:p>
          <w:p>
            <w:pPr/>
            <w:r>
              <w:rPr/>
              <w:t xml:space="preserve">6)	Presence of private actors likely to be mobilized (universities, hospitals, etc.), with an emphasis on engaging these institutions to address gender and social equity concerns, such as providing transportation options for their staff and students, including those who face gender-specific barriers to mobility. Community engagement of youth in promoting, protecting and using public transportation, mainly from university students. Access to young girls and boys will be promoted and measures of protection, prediction of violence and safety will be taken into consideration</w:t>
            </w:r>
          </w:p>
          <w:p>
            <w:pPr/>
            <w:r>
              <w:rPr/>
              <w:t xml:space="preserve">7)	Municipalities engagement and commitment, with a specific focus on encouraging local government institutions to conduct gender-sensitive and social impact assessments to consider the diverse needs of their constituents, including women, elderly individuals, and other vulnerable populations, in the planning and development of non-motorized infrastructure.  A social cohesion approach is needed to include all communities to access public transportation. A transformative approach from conflict and tensions between communities to social cohesion and solidarity.</w:t>
            </w:r>
          </w:p>
          <w:p>
            <w:pPr/>
            <w:r>
              <w:rPr/>
              <w:t xml:space="preserve">8)	Visible and well-lit space, particularly for women, younger girls (youth) and children, in order to discourage sexual harassment, gender-based violence (GBV), crime and human trafficking, and foster a sense of security taking into consideration the different women-specific travel patterns in terms of travel purpose, frequency and distance to essential services and economic opportunities. Visible messages are diffused in case of harassment.</w:t>
            </w:r>
          </w:p>
          <w:p>
            <w:pPr/>
            <w:r>
              <w:rPr/>
              <w:t xml:space="preserve"/>
            </w:r>
          </w:p>
          <w:p>
            <w:pPr/>
            <w:r>
              <w:rPr/>
              <w:t xml:space="preserve">- Developed pre-design tools for data collection for public transport in Lebanon – This includes amongst others surveys for developing ‘Social and Gender Dimensions for Non-Motorized Transport Guidelines for Municipalities’. The objective is to gain insights into the current challenges faced by community members, particularly women, youth, elderly, disabled individuals, and refugees and other migrants in accessing NMT, to identify their specific needs, gather data for gender-sensitive and inclusive guidelines, assess awareness and perception, prioritize inclusivity, evaluate solutions, engage local communities, establish a baseline for monitoring progress, promote transparency and accountability, and contribute to sustainable and inclusive transport development that enhances accessibility and mobility for all residents. The information provided will be analysed and used to design the new transport project.</w:t>
            </w:r>
          </w:p>
          <w:p>
            <w:pPr/>
            <w:r>
              <w:rPr/>
              <w:t xml:space="preserve">- Developed social and gender guidelines for municipalities to support non-motorized transport and door-to-door mobility, including tools for data collection.</w:t>
            </w:r>
          </w:p>
          <w:p>
            <w:pPr/>
            <w:r>
              <w:rPr/>
              <w:t xml:space="preserve">- Prepared training on gender awareness and key concepts and gender mainstreaming</w:t>
            </w:r>
          </w:p>
          <w:p>
            <w:pPr/>
            <w:r>
              <w:rPr/>
              <w:t xml:space="preserve">- Conducted 1-day training workshop for data collection for the pre-design survey</w:t>
            </w:r>
          </w:p>
          <w:p>
            <w:pPr/>
            <w:r>
              <w:rPr/>
              <w:t xml:space="preserve"/>
            </w:r>
          </w:p>
          <w:p>
            <w:pPr/>
            <w:r>
              <w:rPr/>
              <w:t xml:space="preserve">This section evaluates how the outcomes of our project have addressed the distinct needs of men and women, influenced norms, values, and power structures, and contributed to transforming or challenging gender inequalities and discrimination:</w:t>
            </w:r>
          </w:p>
          <w:p>
            <w:pPr/>
            <w:r>
              <w:rPr/>
              <w:t xml:space="preserve">Since transportation is not gender-neutral and travel patterns differ between males and females, achieving gender-responsive transport systems necessitate incorporating the perspectives, voices, and experiences of both men and women.</w:t>
            </w:r>
          </w:p>
          <w:p>
            <w:pPr/>
            <w:r>
              <w:rPr/>
              <w:t xml:space="preserve">In addition, the vulnerable population is usually not considered especially during the design face, so social inclusion and social cohesion are not taken into account. This increases the risk of conflict within the community and within different communities. Consequently, the issue of conflict resolution should also play a key role when addressing the needs of men, women and communities.</w:t>
            </w:r>
          </w:p>
          <w:p>
            <w:pPr/>
            <w:r>
              <w:rPr/>
              <w:t xml:space="preserve">Furthermore, Lebanon's economic crisis has caused the middle class to start using public transport, emphasizing the need for social inclusivity for this group. Gender issues are significant in this context, as the most vulnerable groups at risk of social exclusion include women, children, elderly people, persons with disabilities, refugees, and other migrants.</w:t>
            </w:r>
          </w:p>
          <w:p>
            <w:pPr/>
            <w:r>
              <w:rPr/>
              <w:t xml:space="preserve">In addressing the social and gender dimensions for non-motorized transport (NMT), the importance of public spaces as multi-functional areas for social interaction, economic exchange and cultural expression among a wide diversity of people was highlighted. It is therefore imperative that urban planning should establish and organize these public spaces and urban design should facilitate their use in the process enhancing a sense of identity and belonging, thus increasing social cohesion and decreasing the likelihood of conflict within the community. In fact, the elements included in the social landscape of public spaces are vast and encompass social interaction, community engagement, cultural expression, inclusivity and diversity, design and architecture, public life and recreation, economic activities, and civic engagement.</w:t>
            </w:r>
          </w:p>
          <w:p>
            <w:pPr/>
            <w:r>
              <w:rPr/>
              <w:t xml:space="preserve">To implement NMT, the public sphere should serve as a catalyst through:</w:t>
            </w:r>
          </w:p>
          <w:p>
            <w:pPr/>
            <w:r>
              <w:rPr/>
              <w:t xml:space="preserve">•	Promoting public discourse and decision-making</w:t>
            </w:r>
          </w:p>
          <w:p>
            <w:pPr/>
            <w:r>
              <w:rPr/>
              <w:t xml:space="preserve">•	Public sphere as the economic narrative of the community</w:t>
            </w:r>
          </w:p>
          <w:p>
            <w:pPr/>
            <w:r>
              <w:rPr/>
              <w:t xml:space="preserve">•	Community engagement</w:t>
            </w:r>
          </w:p>
          <w:p>
            <w:pPr/>
            <w:r>
              <w:rPr/>
              <w:t xml:space="preserve">•	Mobilizing advocacy</w:t>
            </w:r>
          </w:p>
          <w:p>
            <w:pPr/>
            <w:r>
              <w:rPr/>
              <w:t xml:space="preserve">•	Sharing public spaces and advocacy development</w:t>
            </w:r>
          </w:p>
          <w:p>
            <w:pPr/>
            <w:r>
              <w:rPr/>
              <w:t xml:space="preserve">•	Contributing to a cultural shift</w:t>
            </w:r>
          </w:p>
          <w:p>
            <w:pPr/>
            <w:r>
              <w:rPr/>
              <w:t xml:space="preserve">•	Raising public awareness and education</w:t>
            </w:r>
          </w:p>
          <w:p>
            <w:pPr/>
            <w:r>
              <w:rPr/>
              <w:t xml:space="preserve">•	Fostering inclusivity and equity</w:t>
            </w:r>
          </w:p>
          <w:p>
            <w:pPr/>
            <w:r>
              <w:rPr/>
              <w:t xml:space="preserve">•	Encouraging environmental sustainability</w:t>
            </w:r>
          </w:p>
          <w:p>
            <w:pPr/>
            <w:r>
              <w:rPr/>
              <w:t xml:space="preserve">•	Guiding urban planning and policy formation</w:t>
            </w:r>
          </w:p>
          <w:p>
            <w:pPr/>
            <w:r>
              <w:rPr/>
              <w:t xml:space="preserve">Another important aspect to engage in NMT is adding narratives/building stories into these public spaces as this would enhance their appeal, strength, and economic impact, otherwise these NMT initiatives will die, as was previously the case with a lot of bike lanes and pedestrian roads. Thus, it is imperative to have purpose and community engagement.</w:t>
            </w:r>
          </w:p>
          <w:p>
            <w:pPr/>
            <w:r>
              <w:rPr/>
              <w:t xml:space="preserve">Finally, we can conclude that community engagement is a key aspect of public spaces and NMT and can be summarized through a 4-stage comprehensive framework for effective community mobilization:</w:t>
            </w:r>
          </w:p>
          <w:p>
            <w:pPr/>
            <w:r>
              <w:rPr/>
              <w:t xml:space="preserve">•	Social Context Assessment – mapping public spaces through a gender lens</w:t>
            </w:r>
          </w:p>
          <w:p>
            <w:pPr/>
            <w:r>
              <w:rPr/>
              <w:t xml:space="preserve">•	Community Consultation and Participation – sustainable social infrastructure</w:t>
            </w:r>
          </w:p>
          <w:p>
            <w:pPr/>
            <w:r>
              <w:rPr/>
              <w:t xml:space="preserve">•	Community Empowerment – bridging private and public spheres</w:t>
            </w:r>
          </w:p>
          <w:p>
            <w:pPr/>
            <w:r>
              <w:rPr/>
              <w:t xml:space="preserve">•	Community Engagement and Collaboration – fostering sustainable partnerships for impact</w:t>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4) Please describe how work to advance gender equality and women's empowerment enhanced the project's environmental and/or resilience outcomes.</w:t>
            </w:r>
          </w:p>
        </w:tc>
      </w:tr>
      <w:tr>
        <w:trPr/>
        <w:tc>
          <w:tcPr>
            <w:tcW w:w="10000" w:type="dxa"/>
            <w:gridSpan w:val="1"/>
          </w:tcPr>
          <w:p>
            <w:pPr/>
            <w:r>
              <w:rPr/>
              <w:t xml:space="preserve">The integration of gender equality and women's empowerment into the project's environmental and resilience outcomes has been significantly enhanced through the focus on social and gender dimensions in the planning and implementation of Non-Motorized Transport (NMT) initiatives. Here’s how this integration has improved environmental and resilience outcomes:</w:t>
            </w:r>
          </w:p>
          <w:p>
            <w:pPr/>
            <w:r>
              <w:rPr/>
              <w:t xml:space="preserve">1.	Increased Community Engagement: The project has focused on engaging diverse community members, particularly women, youth, the elderly, and persons with disabilities, in both the pre-design and post-implementation phases of the NMT projects. This inclusive approach has ensured that the transportation solutions developed are not only environmentally sustainable but also socially equitable. For instance, the pre-design surveys aimed to identify specific needs and gather data for gender-sensitive and inclusive guidelines, which help tailor the NMT projects to the actual requirements of the community members.</w:t>
            </w:r>
          </w:p>
          <w:p>
            <w:pPr/>
            <w:r>
              <w:rPr/>
              <w:t xml:space="preserve">2.	Enhanced Safety and Accessibility: By addressing the specific mobility challenges faced by vulnerable groups, including women and persons with disabilities, the project has enhanced the safety and accessibility of the NMT infrastructure planning. This focus not only improves the environmental footprint by encouraging more people to use non-motorized forms of transport but also ensures that these facilities are resilient to social challenges, fostering a safer and more inclusive public space.</w:t>
            </w:r>
          </w:p>
          <w:p>
            <w:pPr/>
            <w:r>
              <w:rPr/>
              <w:t xml:space="preserve">3.	Promotion of Sustainable Transport: The guidelines developed for municipalities have encouraged the adoption of NMT as a viable, environmentally friendly alternative to motorized transport. This shift reduces traffic congestion, lowers pollution levels, and promotes healthier lifestyles. By integrating gender and social considerations, the project has ensured that these environmental benefits are accessible to all segments of the community, thereby enhancing the overall resilience of the urban infrastructure to environmental and social stresses.</w:t>
            </w:r>
          </w:p>
          <w:p>
            <w:pPr/>
            <w:r>
              <w:rPr/>
              <w:t xml:space="preserve">4.	Feedback and Continuous Improvement: Post-implementation surveys will provide a mechanism for ongoing feedback from all community members, including specific insights from women and other marginalized groups. This feedback is crucial for continuously improving the NMT infrastructure to better serve the community’s needs, ensuring that the project remains adaptive to both environmental changes and evolving social dynamics.</w:t>
            </w:r>
          </w:p>
          <w:p>
            <w:pPr/>
            <w:r>
              <w:rPr/>
              <w:t xml:space="preserve"/>
            </w:r>
          </w:p>
        </w:tc>
      </w:tr>
    </w:tbl>
    <w:p>
      <w:pPr>
        <w:sectPr>
          <w:pgSz w:orient="portrait" w:w="11905.511811023622" w:h="16837.79527559055"/>
          <w:pgMar w:top="1440" w:right="1440" w:bottom="1440" w:left="1440" w:header="720" w:footer="720" w:gutter="0"/>
          <w:cols w:num="1" w:space="720"/>
        </w:sectPr>
      </w:pPr>
    </w:p>
    <w:p>
      <w:pPr>
        <w:pStyle w:val="Heading1"/>
      </w:pPr>
      <w:bookmarkStart w:id="13" w:name="_Toc13"/>
      <w:r>
        <w:t>Risk Management</w:t>
      </w:r>
      <w:bookmarkEnd w:id="13"/>
    </w:p>
    <w:p>
      <w:pPr>
        <w:pStyle w:val="Heading2"/>
      </w:pPr>
      <w:bookmarkStart w:id="14" w:name="_Toc14"/>
      <w:r>
        <w:t>A) Overall Risk Management</w:t>
      </w:r>
      <w:bookmarkEnd w:id="14"/>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BPPS RTA: Please discuss the risks flagged in the Quantum project Risk Register and the VF Risk Dashboard in PIMS+ with the CO and then provide an assessment of project risk management undertaken during the  reporting period. Document actions, agreed with the CO, to address all project risks in the coming year.</w:t>
            </w:r>
          </w:p>
          <w:p>
            <w:pPr/>
            <w:r>
              <w:rPr>
                <w:b w:val="1"/>
                <w:bCs w:val="1"/>
              </w:rPr>
              <w:t xml:space="preserve"/>
            </w:r>
          </w:p>
        </w:tc>
      </w:tr>
      <w:tr>
        <w:trPr/>
        <w:tc>
          <w:tcPr>
            <w:tcW w:w="10000" w:type="dxa"/>
            <w:gridSpan w:val="1"/>
          </w:tcPr>
          <w:p>
            <w:pPr/>
            <w:r>
              <w:rPr/>
              <w:t xml:space="preserve">Five substantial risks were flagged in the Quantum project risk register and 3 in PIMS+ as follows:</w:t>
            </w:r>
          </w:p>
          <w:p>
            <w:pPr/>
            <w:r>
              <w:rPr/>
              <w:t xml:space="preserve">1. Safety and Security risk: Risk of vandalism/theft of PV charging system in Jbeil bus station and the vandalism of e-buses at the bus station and/or during operation.</w:t>
            </w:r>
          </w:p>
          <w:p>
            <w:pPr/>
            <w:r>
              <w:rPr/>
              <w:t xml:space="preserve">2. Financial Risk: EV technologies and other technical deliverables are not adapted to the country's conditions.</w:t>
            </w:r>
          </w:p>
          <w:p>
            <w:pPr/>
            <w:r>
              <w:rPr/>
              <w:t xml:space="preserve">3. Financial Risk: Investments envisaged in other projects do not materialize.</w:t>
            </w:r>
          </w:p>
          <w:p>
            <w:pPr/>
            <w:r>
              <w:rPr/>
              <w:t xml:space="preserve">4. Social and environmental risk: Damage to cultural heritage sites during the rehabilitation of bus stops and other accessibility infrastructure</w:t>
            </w:r>
          </w:p>
          <w:p>
            <w:pPr/>
            <w:r>
              <w:rPr/>
              <w:t xml:space="preserve">5. Social and Environmental Risk: Inadequate (or lack of) treatment of EVs and their particular components (e.g., tires, batteries, or lubricants) in the e-mobility strategy and during the operation of the e-buses and cars.</w:t>
            </w:r>
          </w:p>
          <w:p>
            <w:pPr/>
            <w:r>
              <w:rPr/>
              <w:t xml:space="preserve"/>
            </w:r>
          </w:p>
          <w:p>
            <w:pPr/>
            <w:r>
              <w:rPr/>
              <w:t xml:space="preserve">However, as the project is still in its earlier stages, 2 additional risks were flagged, while 4 of the original 5 risks might affect the project at a later stage. Below is a summary of the current risks (2 new ones and 1 old) and the proposed mitigation measures. These will need to be reflected in both the Quantum Project risk register and PIMS+.</w:t>
            </w:r>
          </w:p>
          <w:p>
            <w:pPr/>
            <w:r>
              <w:rPr/>
              <w:t xml:space="preserve"/>
            </w:r>
          </w:p>
          <w:p>
            <w:pPr/>
            <w:r>
              <w:rPr/>
              <w:t xml:space="preserve">Risk 1: The Safety and Security Risk.</w:t>
            </w:r>
          </w:p>
          <w:p>
            <w:pPr/>
            <w:r>
              <w:rPr/>
              <w:t xml:space="preserve">Mitigation measure: Surveillance and Security Measures were put in place as follows:</w:t>
            </w:r>
          </w:p>
          <w:p>
            <w:pPr/>
            <w:r>
              <w:rPr/>
              <w:t xml:space="preserve">•	Surveillance Systems: The Terms of Reference (ToRs) for the PV charging system at the Jbeil Bus Depot stipulate that the awarded contractor must install an advanced surveillance system covering the depot. Additionally, the contractor is required to install gates at the Jbeil bus depot to secure the premises after operational hours. Similarly, the ToRs for procuring electric buses mandate surveillance systems inside the buses to monitor and record activities, helping to deter and document any incidents of vandalism or theft.</w:t>
            </w:r>
          </w:p>
          <w:p>
            <w:pPr/>
            <w:r>
              <w:rPr/>
              <w:t xml:space="preserve">•	Security Personnel: The Municipality of Jbeil has pledged to deploy security personnel at the Jbeil bus station, enhancing the safety of the infrastructure and the well-being of passengers and staff. Furthermore, once an operator is selected for the e-buses, they will be tasked with providing security at the Jbeil bus depot.</w:t>
            </w:r>
          </w:p>
          <w:p>
            <w:pPr/>
            <w:r>
              <w:rPr/>
              <w:t xml:space="preserve">Strategic Pricing. Additional mitigations involve strategic operational decisions outlined in the ToR for the bus operator, aimed at minimizing the impact of the informal transport sector:</w:t>
            </w:r>
          </w:p>
          <w:p>
            <w:pPr/>
            <w:r>
              <w:rPr/>
              <w:t xml:space="preserve">•	Pricing Strategy: The electric buses will feature a fare structure that is higher than those of informal transport services. This pricing strategy is designed to attract a different segment of commuters, thereby reducing competition and potential conflicts with the informal sector.</w:t>
            </w:r>
          </w:p>
          <w:p>
            <w:pPr/>
            <w:r>
              <w:rPr/>
              <w:t xml:space="preserve"/>
            </w:r>
          </w:p>
          <w:p>
            <w:pPr/>
            <w:r>
              <w:rPr/>
              <w:t xml:space="preserve">Risk 2: Operatioanl. Relocation of Bus Stops.</w:t>
            </w:r>
          </w:p>
          <w:p>
            <w:pPr/>
            <w:r>
              <w:rPr/>
              <w:t xml:space="preserve">Mitigation measure: Selection for new bus stop sites.</w:t>
            </w:r>
          </w:p>
          <w:p>
            <w:pPr/>
            <w:r>
              <w:rPr/>
              <w:t xml:space="preserve">The selection of the new bus stop locations was guided by site exclusion criteria linked to potential risks. This framework ensures that each site is chosen based on minimal environmental impact, accessibility, and potential for sustainable development, thereby mitigating various risks:</w:t>
            </w:r>
          </w:p>
          <w:p>
            <w:pPr/>
            <w:r>
              <w:rPr/>
              <w:t xml:space="preserve">•	Operational Risks: Official bus stops reduce the risk of vandalism and operational interference from the informal transport sector, which might target electric buses stopping at non-designated, unofficial stops along the highway. The strategic placement of new bus stops is designed to minimize overlap with routes used by informal transport services, reducing potential competition and conflicts.</w:t>
            </w:r>
          </w:p>
          <w:p>
            <w:pPr/>
            <w:r>
              <w:rPr/>
              <w:t xml:space="preserve">•	Safety and Security Risks: The new bus stops are designed and located according to international standards, creating safe zones for passengers and significantly reducing health and safety risks associated with highway boarding.</w:t>
            </w:r>
          </w:p>
          <w:p>
            <w:pPr/>
            <w:r>
              <w:rPr/>
              <w:t xml:space="preserve"/>
            </w:r>
          </w:p>
          <w:p>
            <w:pPr/>
            <w:r>
              <w:rPr/>
              <w:t xml:space="preserve">Risk 3 Operational Risk Concerning Bus Range: Insufficient Range on the Tripoli-Beirut Corridor</w:t>
            </w:r>
          </w:p>
          <w:p>
            <w:pPr/>
            <w:r>
              <w:rPr/>
              <w:t xml:space="preserve">Mitigation measure: Operational Risk: Shortening the Route</w:t>
            </w:r>
          </w:p>
          <w:p>
            <w:pPr/>
            <w:r>
              <w:rPr/>
              <w:t xml:space="preserve">During the inception phase of the project, a critical decision was made to mitigate this risk by altering the operational corridor from Tripoli-Beirut to Jbeil-Beirut. This change effectively halved the distance of each round trip to about 80 kilometers in total, significantly reducing the demand on the electric buses' battery life per trip. This adjustment not only ensures the reliability of the bus service but also aligns better with the current capabilities of electric bus technology and available charging infrastructure.</w:t>
            </w:r>
          </w:p>
        </w:tc>
      </w:tr>
    </w:tbl>
    <w:p>
      <w:pPr>
        <w:pStyle w:val="Heading2"/>
      </w:pPr>
      <w:bookmarkStart w:id="15" w:name="_Toc15"/>
      <w:r>
        <w:t>B) SES Implementation</w:t>
      </w:r>
      <w:bookmarkEnd w:id="15"/>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Provide an update on progress, challenges and outcomes related to stakeholder engagement based on the description in the Stakeholder Engagement Plan or equivalent documentation submitted at CEO Endorsement/Approval.</w:t>
            </w:r>
          </w:p>
        </w:tc>
      </w:tr>
      <w:tr>
        <w:trPr/>
        <w:tc>
          <w:tcPr>
            <w:tcW w:w="10000" w:type="dxa"/>
            <w:gridSpan w:val="1"/>
          </w:tcPr>
          <w:p>
            <w:pPr/>
            <w:r>
              <w:rPr/>
              <w:t xml:space="preserve">In the second year of its implementation, the Project Management Unit (PMU) significantly expanded its stakeholder engagement efforts, meticulously aligning with the objectives outlined in the Stakeholder Engagement Plan. This proactive approach involved extensive collaboration with municipal authorities, community members, private sector participants, NGOs, and international stakeholders to tackle the multifaceted challenges of implementing a sustainable transport project in Lebanon.</w:t>
            </w:r>
          </w:p>
          <w:p>
            <w:pPr/>
            <w:r>
              <w:rPr/>
              <w:t xml:space="preserve">Municipal Engagements and Local Government Involvement: The PMU actively engaged with municipalities such as Antelias, Jounieh, Bourj Hammoud, Beirut, and Jdeideh to finalize potential bus stop locations. Challenges such as local business opposition and logistical constraints were addressed through alternative proposals and ongoing dialogue. In Jbeil, discussions with community members and Mayor Wissam Zaarour not only addressed the need to enhance district connectivity but also tackled broader issues like low ridership and the community's preference for personal vehicles.</w:t>
            </w:r>
          </w:p>
          <w:p>
            <w:pPr/>
            <w:r>
              <w:rPr/>
              <w:t xml:space="preserve">Private Sector and NGO Collaborations: Engagements with the private sector and NGOs were robust, with initiatives like the Bike 3al Bus promoting multimodality and supporting cyclist integration on public transport. Discussions with bus operators like Connex covered their transition from public to private transport operations, reflecting a deep integration of private sector capabilities and insights into the project’s strategy.</w:t>
            </w:r>
          </w:p>
          <w:p>
            <w:pPr/>
            <w:r>
              <w:rPr/>
              <w:t xml:space="preserve">Industry and International Engagements: The PMU met with e-bus manufacturers such as BYD, Kinglong, Yutong, and Ankai, and participated in significant international events like the MENA UITP Public Transportation Event in Dubai. These engagements demonstrated proactive efforts to align with global standards and leverage international expertise and technology for local project implementation.</w:t>
            </w:r>
          </w:p>
          <w:p>
            <w:pPr/>
            <w:r>
              <w:rPr/>
              <w:t xml:space="preserve">Promotion of Non-Motorized Transport (NMT) and Certification Discussions: Significant efforts to promote NMT through workshops and strategic discussions were notable, focusing on enhancing cycling and micromobility in urban settings. The PMU also engaged in discussions about implementing Green Public Transport Service Certification and Green Fleet Management concepts, involving dialogues with public transport operators, standard-setting bodies like Libnor, and crucially, the Ministry of Environment, ensuring adherence to high sustainability and quality standards, and exploring the potential for implementation.</w:t>
            </w:r>
          </w:p>
          <w:p>
            <w:pPr/>
            <w:r>
              <w:rPr/>
              <w:t xml:space="preserve">Sector-Specific Engagements and Local Project Support: Specific engagements related to e-mobility and renewable energy addressed network strategies and sector-specific challenges. In Zahle, the PMU focused on supporting the operational needs and progress of their EU-funded transport project, ensuring that local implementations were well-supported and aligned with broader project goals.</w:t>
            </w:r>
          </w:p>
          <w:p>
            <w:pPr/>
            <w:r>
              <w:rPr/>
              <w:t xml:space="preserve">Overall, the PMU's engagement activities throughout the year exhibited a robust adherence to the Stakeholder Engagement Plan’s framework. The strategic execution of the plan facilitated a multi-dimensional engagement across various stakeholder groups, ensuring that each engagement was purpose-driven and aligned with the overarching project goals. This comprehensive approach underscores the PMU's commitment to a stakeholder-centered strategy, crucial for the project's success and sustainability. By adapting strategies to meet dynamic stakeholder needs and integrating innovative solutions into the sustainable transport framework, the PMU's actions demonstrate a successful implementation of the engagement plan, laying a solid foundation for ongoing and future project phases.</w:t>
            </w:r>
          </w:p>
          <w:p>
            <w:pPr/>
            <w:r>
              <w:rPr/>
              <w:t xml:space="preserve"/>
            </w:r>
          </w:p>
        </w:tc>
      </w:tr>
    </w:tbl>
    <w:p>
      <w:pPr>
        <w:sectPr>
          <w:pgSz w:orient="portrait" w:w="11905.511811023622" w:h="16837.79527559055"/>
          <w:pgMar w:top="1440" w:right="1440" w:bottom="1440" w:left="1440" w:header="720" w:footer="720" w:gutter="0"/>
          <w:cols w:num="1" w:space="720"/>
        </w:sectPr>
      </w:pPr>
    </w:p>
    <w:p>
      <w:pPr>
        <w:pStyle w:val="Heading1"/>
      </w:pPr>
      <w:bookmarkStart w:id="16" w:name="_Toc16"/>
      <w:r>
        <w:t>Knowledge Management &amp; Communications</w:t>
      </w:r>
      <w:bookmarkEnd w:id="16"/>
    </w:p>
    <w:p>
      <w:pPr>
        <w:spacing w:before="0" w:after="0"/>
      </w:pPr>
      <w:r>
        <w:rPr/>
        <w:t xml:space="preserve"/>
      </w:r>
    </w:p>
    <w:p>
      <w:pPr/>
      <w:r>
        <w:rPr/>
        <w:t xml:space="preserve"> </w:t>
      </w:r>
    </w:p>
    <w:p>
      <w:pPr/>
      <w:r>
        <w:rPr/>
        <w:t xml:space="preserve">The </w:t>
      </w:r>
      <w:r>
        <w:rPr>
          <w:b w:val="1"/>
          <w:bCs w:val="1"/>
        </w:rPr>
        <w:t xml:space="preserve">Project Manager</w:t>
      </w:r>
      <w:r>
        <w:rPr/>
        <w:t xml:space="preserve"> must complete the three questions below.</w:t>
      </w:r>
    </w:p>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1) Please provide progress on the implementation of the project's Knowledge Management approach approved at CEO Endorsement/Approval.  If there is no KM approach/strategy, please comment on how the project is capturing and disseminating best practices and lessons learned.</w:t>
            </w:r>
          </w:p>
          <w:p>
            <w:pPr/>
            <w:r>
              <w:rPr>
                <w:b w:val="1"/>
                <w:bCs w:val="1"/>
              </w:rPr>
              <w:t xml:space="preserve"/>
            </w:r>
          </w:p>
        </w:tc>
      </w:tr>
      <w:tr>
        <w:trPr/>
        <w:tc>
          <w:tcPr>
            <w:tcW w:w="10000" w:type="dxa"/>
            <w:gridSpan w:val="1"/>
          </w:tcPr>
          <w:p>
            <w:pPr/>
            <w:r>
              <w:rPr/>
              <w:t xml:space="preserve">The project's Knowledge Management (KM) approach is well-defined and was approved at CEO Endorsement. As for the progress on Knowledge Management Activities in Year 2 of the Project, the following has been achieved:</w:t>
            </w:r>
          </w:p>
          <w:p>
            <w:pPr/>
            <w:r>
              <w:rPr/>
              <w:t xml:space="preserve">•	Developed the project communication strategy.</w:t>
            </w:r>
          </w:p>
          <w:p>
            <w:pPr/>
            <w:r>
              <w:rPr/>
              <w:t xml:space="preserve">•	Held regular meetings with stakeholders involved in e-mobility in Lebanon.</w:t>
            </w:r>
          </w:p>
          <w:p>
            <w:pPr/>
            <w:r>
              <w:rPr/>
              <w:t xml:space="preserve">•	Conducted a capacity-building workshop for municipal planners and stakeholders on non-motorized transport guidelines in Q3 2023.</w:t>
            </w:r>
          </w:p>
          <w:p>
            <w:pPr/>
            <w:r>
              <w:rPr/>
              <w:t xml:space="preserve">•	Conducted a capacity-building workshop on promoting urban mobility in the context of Lebanon at Zouk Mkayel Municipality in Q2 2024.</w:t>
            </w:r>
          </w:p>
          <w:p>
            <w:pPr/>
            <w:r>
              <w:rPr/>
              <w:t xml:space="preserve">•	Participated in GEF E-mobility Support Programme activities and training sessions.</w:t>
            </w:r>
          </w:p>
          <w:p>
            <w:pPr/>
            <w:r>
              <w:rPr/>
              <w:t xml:space="preserve">•	Shared project updates, challenges, and adaptive measures in the community of practice meetings with the GEF E-mobility Support Programme.</w:t>
            </w:r>
          </w:p>
          <w:p>
            <w:pPr/>
            <w:r>
              <w:rPr/>
              <w:t xml:space="preserve">•	Distributed training materials prepared by EBRD as part of the GEF E-mobility Support Programme to relevant stakeholders.</w:t>
            </w:r>
          </w:p>
          <w:p>
            <w:pPr/>
            <w:r>
              <w:rPr/>
              <w:t xml:space="preserve">•	Completed a podcast on e-mobility in Lebanon.</w:t>
            </w:r>
          </w:p>
          <w:p>
            <w:pPr/>
            <w:r>
              <w:rPr/>
              <w:t xml:space="preserve">•	Supported Zahle-Al-Muallaqa and Taanayel Municipalities in the implementation of the “Promoting Environment-Friendly Public Transport” project by providing guidelines on designing bus stops for 12 m buses. Conducted pre-implementation and post-implementation surveys to capture the preferences of potential and actual public transport users.</w:t>
            </w:r>
          </w:p>
          <w:p>
            <w:pPr/>
            <w:r>
              <w:rPr/>
              <w:t xml:space="preserve"/>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2) Please provide URLs specific to this project in the relevant field below.  Please categorize the URLs appropriately (for example: project websites, social media sites, media coverage, etc.)</w:t>
            </w:r>
          </w:p>
        </w:tc>
      </w:tr>
      <w:tr>
        <w:trPr/>
        <w:tc>
          <w:tcPr>
            <w:tcW w:w="10000" w:type="dxa"/>
            <w:gridSpan w:val="1"/>
          </w:tcPr>
          <w:p>
            <w:pPr/>
            <w:r>
              <w:rPr/>
              <w:t xml:space="preserve">Project Webpage on UNDP website:</w:t>
            </w:r>
          </w:p>
          <w:p>
            <w:pPr/>
            <w:r>
              <w:rPr/>
              <w:t xml:space="preserve">https://www.undp.org/lebanon/projects/lebanon-sustainable-low-emission-transport-systems</w:t>
            </w:r>
          </w:p>
          <w:p>
            <w:pPr/>
            <w:r>
              <w:rPr/>
              <w:t xml:space="preserve">Inception Workshop Press Release:</w:t>
            </w:r>
          </w:p>
          <w:p>
            <w:pPr/>
            <w:r>
              <w:rPr/>
              <w:t xml:space="preserve">https://www.undp.org/lebanon/press-releases/undp-supporting-lebanons-green-development-introducing-first-fleet-electric-buses-jbeil</w:t>
            </w:r>
          </w:p>
          <w:p>
            <w:pPr/>
            <w:r>
              <w:rPr/>
              <w:t xml:space="preserve">Media Posts related to the project:</w:t>
            </w:r>
          </w:p>
          <w:p>
            <w:pPr/>
            <w:r>
              <w:rPr/>
              <w:t xml:space="preserve">https://www.nna-leb.gov.lb/en/%D9%85%D8%AA%D9%81%D8%B1%D9%82%D8%A7%D8%AA/570094/undp-supports-lebanon-s-green-development-by-intro</w:t>
            </w:r>
          </w:p>
          <w:p>
            <w:pPr/>
            <w:r>
              <w:rPr/>
              <w:t xml:space="preserve">Social Media Posts:</w:t>
            </w:r>
          </w:p>
          <w:p>
            <w:pPr/>
            <w:r>
              <w:rPr/>
              <w:t xml:space="preserve">https://www.instagram.com/p/CuEg5rjsLuC/</w:t>
            </w:r>
          </w:p>
          <w:p>
            <w:pPr/>
            <w:r>
              <w:rPr/>
              <w:t xml:space="preserve">https://www.facebook.com/photo.php?fbid=652207330273737&amp;set=pb.100064534276413.-2207520000.&amp;type=3</w:t>
            </w:r>
          </w:p>
          <w:p>
            <w:pPr/>
            <w:r>
              <w:rPr/>
              <w:t xml:space="preserve">https://www.linkedin.com/showcase/35704415/admin/feed/posts/</w:t>
            </w:r>
          </w:p>
          <w:p>
            <w:pPr/>
            <w:r>
              <w:rPr/>
              <w:t xml:space="preserve">https://www.mtv.com.lb/en/news/articles/1317102/undp-supports-lebanon%E2%80%99s-green-development-by-introducing-first-fleet-of-electric-busses-in-jbeil</w:t>
            </w:r>
          </w:p>
          <w:p>
            <w:pPr/>
            <w:r>
              <w:rPr/>
              <w:t xml:space="preserve"/>
            </w:r>
          </w:p>
          <w:p>
            <w:pPr/>
            <w:r>
              <w:rPr/>
              <w:t xml:space="preserve">New for PIR 2:</w:t>
            </w:r>
          </w:p>
          <w:p>
            <w:pPr/>
            <w:r>
              <w:rPr/>
              <w:t xml:space="preserve">https://www.instagram.com/undp_lebanon/p/CvKNM0fsbt0/</w:t>
            </w:r>
          </w:p>
          <w:p>
            <w:pPr/>
            <w:r>
              <w:rPr/>
              <w:t xml:space="preserve">https://www.instagram.com/undp_lebanon/p/CvXJkqSsLqU/</w:t>
            </w:r>
          </w:p>
          <w:p>
            <w:pPr/>
            <w:r>
              <w:rPr/>
              <w:t xml:space="preserve">https://www.instagram.com/undp_lebanon/p/C4vdf-JrGrk/?img_index=1</w:t>
            </w:r>
          </w:p>
          <w:p>
            <w:pPr/>
            <w:r>
              <w:rPr/>
              <w:t xml:space="preserve">https://www.instagram.com/undp_lebanon/p/C4vdf-JrGrk/?img_index=2</w:t>
            </w:r>
          </w:p>
          <w:p>
            <w:pPr/>
            <w:r>
              <w:rPr/>
              <w:t xml:space="preserve">https://www.instagram.com/undp_lebanon/p/C4vdf-JrGrk/?img_index=3</w:t>
            </w:r>
          </w:p>
          <w:p>
            <w:pPr/>
            <w:r>
              <w:rPr/>
              <w:t xml:space="preserve">https://www.instagram.com/undp_lebanon/p/C4vdf-JrGrk/?img_index=4</w:t>
            </w:r>
          </w:p>
          <w:p>
            <w:pPr/>
            <w:r>
              <w:rPr/>
              <w:t xml:space="preserve">https://www.instagram.com/undp_lebanon/p/C4vdf-JrGrk/?img_index=5</w:t>
            </w:r>
          </w:p>
          <w:p>
            <w:pPr/>
            <w:r>
              <w:rPr/>
              <w:t xml:space="preserve">https://www.instagram.com/undp_lebanon/p/C4vdf-JrGrk/?img_index=6</w:t>
            </w:r>
          </w:p>
          <w:p>
            <w:pPr/>
            <w:r>
              <w:rPr/>
              <w:t xml:space="preserve"/>
            </w:r>
          </w:p>
          <w:p>
            <w:pPr/>
            <w:r>
              <w:rPr/>
              <w:t xml:space="preserve">Podcast on E-mobility:</w:t>
            </w:r>
          </w:p>
          <w:p>
            <w:pPr/>
            <w:r>
              <w:rPr/>
              <w:t xml:space="preserve"/>
            </w:r>
          </w:p>
          <w:p>
            <w:pPr/>
            <w:r>
              <w:rPr/>
              <w:t xml:space="preserve">https://www.youtube.com/watch?v=8un3v_6ZQs8</w:t>
            </w:r>
          </w:p>
          <w:p>
            <w:pPr/>
            <w:r>
              <w:rPr/>
              <w:t xml:space="preserve"/>
            </w:r>
          </w:p>
          <w:p>
            <w:pPr/>
            <w:r>
              <w:rPr/>
              <w:t xml:space="preserve"/>
            </w:r>
          </w:p>
        </w:tc>
      </w:tr>
    </w:tbl>
    <w:tbl>
      <w:tblGrid>
        <w:gridCol w:w="10000" w:type="dxa"/>
      </w:tblGrid>
      <w:tblPr>
        <w:tblW w:w="0" w:type="auto"/>
        <w:tblLayout w:type="autofit"/>
        <w:bidiVisual w:val="0"/>
        <w:tblCellMar>
          <w:top w:w="20" w:type="dxa"/>
          <w:left w:w="20" w:type="dxa"/>
          <w:right w:w="20" w:type="dxa"/>
          <w:bottom w:w="20" w:type="dxa"/>
        </w:tblCellMar>
        <w:tblBorders>
          <w:top w:val="single" w:sz="5" w:color="000000"/>
          <w:left w:val="single" w:sz="5" w:color="000000"/>
          <w:right w:val="single" w:sz="5" w:color="000000"/>
          <w:bottom w:val="single" w:sz="5" w:color="000000"/>
          <w:insideH w:val="single" w:sz="5" w:color="000000"/>
          <w:insideV w:val="single" w:sz="5" w:color="000000"/>
        </w:tblBorders>
      </w:tblPr>
      <w:tr>
        <w:trPr/>
        <w:tc>
          <w:tcPr>
            <w:tcW w:w="10000" w:type="dxa"/>
            <w:shd w:val="clear" w:fill="#D9D9D9"/>
          </w:tcPr>
          <w:p>
            <w:pPr/>
            <w:r>
              <w:rPr>
                <w:b w:val="1"/>
                <w:bCs w:val="1"/>
              </w:rPr>
              <w:t xml:space="preserve">3) In the PIR platform, please upload any supporting files, including the project's Communications Strategy, photos, videos, stories and other communication/knowledge materials.</w:t>
            </w:r>
          </w:p>
        </w:tc>
      </w:tr>
      <w:tr>
        <w:trPr/>
        <w:tc>
          <w:tcPr>
            <w:tcW w:w="10000" w:type="dxa"/>
          </w:tcPr>
          <w:p>
            <w:pPr>
              <w:spacing w:before="0" w:after="0"/>
            </w:pPr>
            <w:r>
              <w:rPr/>
              <w:t xml:space="preserve">20240604_Presentation Zouk Mkayel_UNDP.pdf</w:t>
            </w:r>
          </w:p>
          <w:p>
            <w:pPr>
              <w:spacing w:before="0" w:after="0"/>
            </w:pPr>
            <w:r>
              <w:rPr/>
              <w:t xml:space="preserve">Capacity Building Workshop on Non-Motorized Transport- MoM - Movenpick 13 Sep 2023.pdf</w:t>
            </w:r>
          </w:p>
          <w:p>
            <w:pPr>
              <w:spacing w:before="0" w:after="0"/>
            </w:pPr>
            <w:r>
              <w:rPr/>
              <w:t xml:space="preserve">Sustainable Transport Communication Strategy.pdf</w:t>
            </w:r>
          </w:p>
          <w:p>
            <w:pPr/>
          </w:p>
        </w:tc>
      </w:tr>
    </w:tbl>
    <w:p>
      <w:pPr>
        <w:sectPr>
          <w:pgSz w:orient="portrait" w:w="11905.511811023622" w:h="16837.79527559055"/>
          <w:pgMar w:top="1440" w:right="1440" w:bottom="1440" w:left="1440" w:header="720" w:footer="720" w:gutter="0"/>
          <w:cols w:num="1" w:space="720"/>
        </w:sectPr>
      </w:pPr>
    </w:p>
    <w:p>
      <w:pPr>
        <w:pStyle w:val="Heading1"/>
      </w:pPr>
      <w:bookmarkStart w:id="17" w:name="_Toc17"/>
      <w:r>
        <w:t>Annex - Ratings Definitions</w:t>
      </w:r>
      <w:bookmarkEnd w:id="17"/>
    </w:p>
    <w:p>
      <w:pPr/>
      <w:r>
        <w:rPr>
          <w:b w:val="1"/>
          <w:bCs w:val="1"/>
        </w:rPr>
        <w:t xml:space="preserve">Development Objective Progress Ratings Definitions</w:t>
      </w:r>
    </w:p>
    <w:p>
      <w:pPr/>
      <w:r>
        <w:rPr/>
        <w:t xml:space="preserve">(HS) Highly Satisfactory: Project is on track to exceed its end-of-project targets, and is likely to achieve transformational change by project closure. The project can be presented as 'outstanding practice'.</w:t>
      </w:r>
    </w:p>
    <w:p>
      <w:pPr/>
      <w:r>
        <w:rPr/>
        <w:t xml:space="preserve">(S) Satisfactory: Project is on track to fully achieve its end-of-project targets by project closure. The project can be presented as 'good practice'.</w:t>
      </w:r>
    </w:p>
    <w:p>
      <w:pPr/>
      <w:r>
        <w:rPr/>
        <w:t xml:space="preserve">(MS) Moderately Satisfactory: Project is on track to achieve its end-of-project targets by project closure with minor shortcomings only.</w:t>
      </w:r>
    </w:p>
    <w:p>
      <w:pPr/>
      <w:r>
        <w:rPr/>
        <w:t xml:space="preserve">(MU) Moderately Unsatisfactory: Project is off track and is expected to partially achieve its end-of-project targets by project closure with significant shortcomings. Project results might be fully achieved by project closure if adaptive management is undertaken immediately.</w:t>
      </w:r>
    </w:p>
    <w:p>
      <w:pPr/>
      <w:r>
        <w:rPr/>
        <w:t xml:space="preserve">(U) Unsatisfactory: Project is off track and is not expected to achieve its end-of-project targets by project closure. Project results might be partially achieved by project closure if major adaptive management is undertaken immediately.</w:t>
      </w:r>
    </w:p>
    <w:p>
      <w:pPr/>
      <w:r>
        <w:rPr/>
        <w:t xml:space="preserve">(HU) Highly Unsatisfactory: Project is off track and is not expected to achieve its end-of-project targets without major restructuring.</w:t>
      </w:r>
    </w:p>
    <w:p/>
    <w:p>
      <w:pPr/>
      <w:r>
        <w:rPr>
          <w:b w:val="1"/>
          <w:bCs w:val="1"/>
        </w:rPr>
        <w:t xml:space="preserve">Implementation Progress Ratings Definitions</w:t>
      </w:r>
    </w:p>
    <w:p>
      <w:pPr/>
      <w:r>
        <w:rPr/>
        <w:t xml:space="preserve">(HS) Highly Satisfactory: Implementation is exceeding expectations. Cumulative financial delivery, timing of key implementation milestones, and risk management are fully on track. The project is managed extremely efficiently and effectively. The implementation of the project can be presented as 'outstanding practice'.</w:t>
      </w:r>
    </w:p>
    <w:p>
      <w:pPr/>
      <w:r>
        <w:rPr/>
        <w:t xml:space="preserve">(S) Satisfactory: Implementation is proceeding as planned. Cumulative financial delivery, timing of key implementation milestones, and risk management are on track. The project is managed efficiently and effectively. The implementation of the project can be presented as 'good practice'.</w:t>
      </w:r>
    </w:p>
    <w:p>
      <w:pPr/>
      <w:r>
        <w:rPr/>
        <w:t xml:space="preserve">(MS) Moderately Satisfactory: Implementation is proceeding as planned with minor deviations. Cumulative financial delivery and management of risks are mostly on track, with minor delays. The project is managed well.</w:t>
      </w:r>
    </w:p>
    <w:p>
      <w:pPr/>
      <w:r>
        <w:rPr/>
        <w:t xml:space="preserve">(MU) Moderately Unsatisfactory: Implementation is not proceeding as planned and faces significant implementation issues. Implementation progress could be improved if adaptive management is undertaken immediately. Cumulative financial delivery, timing of key implementation milestones, and/or management of critical risks are significantly off track. The project is not fully or well supported. </w:t>
      </w:r>
    </w:p>
    <w:p>
      <w:pPr/>
      <w:r>
        <w:rPr/>
        <w:t xml:space="preserve">(U) Unsatisfactory: Implementation is not proceeding as planned and faces major implementation issues and restructuring may be necessary. Cumulative financial delivery, timing of key implementation milestones, and/or management of critical risks are off track with major issues and/or concerns. The project is not fully or well supported. </w:t>
      </w:r>
    </w:p>
    <w:p>
      <w:pPr/>
      <w:r>
        <w:rPr/>
        <w:t xml:space="preserve">(HU) Highly Unsatisfactory: Implementation is seriously under performing and major restructuring is required. Cumulative financial delivery, timing of key implementation milestones (e.g. start of activities), and management of critical risks are severely off track with severe issues and/or concerns.  The project is not effectively or efficiently supported.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t xml:space="preserve">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t xml:space="preserve">2024 Project Implementation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958BFB95"/>
    <w:multiLevelType w:val="multilevel"/>
    <w:lvl w:ilvl="0">
      <w:start w:val="1"/>
      <w:numFmt w:val="upperLetter"/>
      <w:pStyle w:val="Heading1"/>
      <w:suff w:val="tab"/>
      <w:lvlText w:val="%1."/>
      <w:pPr>
        <w:tabs>
          <w:tab w:val="num"/>
        </w:tabs>
        <w:ind/>
      </w:pPr>
      <w:rPr>
        <w:rFonts/>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numPr>
        <w:numId w:val="1"/>
        <w:ilvl w:val="0"/>
      </w:numPr>
      <w:outlineLvl w:val="0"/>
    </w:pPr>
    <w:rPr>
      <w:sz w:val="28"/>
      <w:szCs w:val="28"/>
      <w:b w:val="1"/>
      <w:bCs w:val="1"/>
    </w:rPr>
  </w:style>
  <w:style w:type="paragraph" w:styleId="Heading2">
    <w:link w:val="Heading2Char"/>
    <w:name w:val="heading 2"/>
    <w:basedOn w:val="Normal"/>
    <w:pPr>
      <w:spacing w:before="400"/>
    </w:pPr>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section_image2.jp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section_image1.gif"/><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www.thegef.org/sites/default/files/documents/2022-04/GEF_R.08_31_GEF-8_Policy_Directions.pdf" TargetMode="External"/><Relationship Id="rId4" Type="http://schemas.openxmlformats.org/officeDocument/2006/relationships/theme" Target="theme/theme1.xml"/><Relationship Id="rId9" Type="http://schemas.openxmlformats.org/officeDocument/2006/relationships/hyperlink" Target="https://www.thegef.org/council-meeting-documents/guidelines-project-and-program-cycle-policy-2020-updat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A889D055969F449BCDADF9B8A9C0F0" ma:contentTypeVersion="18" ma:contentTypeDescription="Crear nuevo documento." ma:contentTypeScope="" ma:versionID="eeb6ebf0a23951882ad2ee404970708c">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93c16087389fed9c096f8a02840cdfc"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331248CF-ECE3-469F-B031-CF2829E19955}"/>
</file>

<file path=customXml/itemProps2.xml><?xml version="1.0" encoding="utf-8"?>
<ds:datastoreItem xmlns:ds="http://schemas.openxmlformats.org/officeDocument/2006/customXml" ds:itemID="{61448D61-B575-40D8-990A-2C60E97D76D6}"/>
</file>

<file path=customXml/itemProps3.xml><?xml version="1.0" encoding="utf-8"?>
<ds:datastoreItem xmlns:ds="http://schemas.openxmlformats.org/officeDocument/2006/customXml" ds:itemID="{5FDC2E6D-6D72-42F1-A18A-E713B3B2DF9C}"/>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2024-09-12T16:53:05Z</dcterms:created>
  <dcterms:modified xsi:type="dcterms:W3CDTF">2024-09-12T16:53:05Z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